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445" w:type="dxa"/>
        <w:tblCellSpacing w:w="0" w:type="dxa"/>
        <w:tblCellMar>
          <w:left w:w="0" w:type="dxa"/>
          <w:right w:w="0" w:type="dxa"/>
        </w:tblCellMar>
        <w:tblLook w:val="04A0" w:firstRow="1" w:lastRow="0" w:firstColumn="1" w:lastColumn="0" w:noHBand="0" w:noVBand="1"/>
      </w:tblPr>
      <w:tblGrid>
        <w:gridCol w:w="8520"/>
      </w:tblGrid>
      <w:tr w:rsidR="007517DD" w14:paraId="36379400" w14:textId="77777777" w:rsidTr="007517DD">
        <w:trPr>
          <w:tblCellSpacing w:w="0" w:type="dxa"/>
        </w:trPr>
        <w:tc>
          <w:tcPr>
            <w:tcW w:w="0" w:type="auto"/>
            <w:vAlign w:val="center"/>
            <w:hideMark/>
          </w:tcPr>
          <w:p w14:paraId="5450AE32" w14:textId="1B0696E6" w:rsidR="007517DD" w:rsidRDefault="007517DD">
            <w:r>
              <w:rPr>
                <w:rFonts w:ascii="Arial" w:eastAsia="Times New Roman" w:hAnsi="Arial" w:cs="Arial"/>
                <w:noProof/>
                <w:color w:val="0000FF"/>
                <w:sz w:val="20"/>
                <w:szCs w:val="20"/>
              </w:rPr>
              <w:drawing>
                <wp:inline distT="0" distB="0" distL="0" distR="0" wp14:anchorId="3B1A334B" wp14:editId="346ED5A3">
                  <wp:extent cx="5407025" cy="874395"/>
                  <wp:effectExtent l="0" t="0" r="3175" b="1905"/>
                  <wp:docPr id="1" name="Picture 1" descr="The Hastings Center | Bioethics and the Public Intere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astings Center | Bioethics and the Public Inte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025" cy="874395"/>
                          </a:xfrm>
                          <a:prstGeom prst="rect">
                            <a:avLst/>
                          </a:prstGeom>
                          <a:noFill/>
                          <a:ln>
                            <a:noFill/>
                          </a:ln>
                        </pic:spPr>
                      </pic:pic>
                    </a:graphicData>
                  </a:graphic>
                </wp:inline>
              </w:drawing>
            </w:r>
          </w:p>
        </w:tc>
      </w:tr>
      <w:tr w:rsidR="007517DD" w14:paraId="79558A06" w14:textId="77777777" w:rsidTr="007517DD">
        <w:trPr>
          <w:tblCellSpacing w:w="0" w:type="dxa"/>
        </w:trPr>
        <w:tc>
          <w:tcPr>
            <w:tcW w:w="0" w:type="auto"/>
            <w:vAlign w:val="center"/>
            <w:hideMark/>
          </w:tcPr>
          <w:tbl>
            <w:tblPr>
              <w:tblW w:w="0" w:type="auto"/>
              <w:tblCellSpacing w:w="0" w:type="dxa"/>
              <w:tblCellMar>
                <w:top w:w="300" w:type="dxa"/>
                <w:left w:w="300" w:type="dxa"/>
                <w:bottom w:w="300" w:type="dxa"/>
                <w:right w:w="300" w:type="dxa"/>
              </w:tblCellMar>
              <w:tblLook w:val="04A0" w:firstRow="1" w:lastRow="0" w:firstColumn="1" w:lastColumn="0" w:noHBand="0" w:noVBand="1"/>
            </w:tblPr>
            <w:tblGrid>
              <w:gridCol w:w="8460"/>
            </w:tblGrid>
            <w:tr w:rsidR="007517DD" w14:paraId="5C786CE0" w14:textId="77777777">
              <w:trPr>
                <w:tblCellSpacing w:w="0" w:type="dxa"/>
              </w:trPr>
              <w:tc>
                <w:tcPr>
                  <w:tcW w:w="0" w:type="auto"/>
                  <w:vAlign w:val="center"/>
                  <w:hideMark/>
                </w:tcPr>
                <w:tbl>
                  <w:tblPr>
                    <w:tblW w:w="7860" w:type="dxa"/>
                    <w:tblCellSpacing w:w="7" w:type="dxa"/>
                    <w:tblLook w:val="04A0" w:firstRow="1" w:lastRow="0" w:firstColumn="1" w:lastColumn="0" w:noHBand="0" w:noVBand="1"/>
                  </w:tblPr>
                  <w:tblGrid>
                    <w:gridCol w:w="3930"/>
                    <w:gridCol w:w="3930"/>
                  </w:tblGrid>
                  <w:tr w:rsidR="007517DD" w14:paraId="6ADFD9D7" w14:textId="77777777">
                    <w:trPr>
                      <w:tblCellSpacing w:w="7" w:type="dxa"/>
                    </w:trPr>
                    <w:tc>
                      <w:tcPr>
                        <w:tcW w:w="2500" w:type="pct"/>
                        <w:tcMar>
                          <w:top w:w="15" w:type="dxa"/>
                          <w:left w:w="15" w:type="dxa"/>
                          <w:bottom w:w="15" w:type="dxa"/>
                          <w:right w:w="15" w:type="dxa"/>
                        </w:tcMar>
                        <w:vAlign w:val="center"/>
                        <w:hideMark/>
                      </w:tcPr>
                      <w:p w14:paraId="0D3583B1" w14:textId="77777777" w:rsidR="007517DD" w:rsidRDefault="007517DD">
                        <w:pPr>
                          <w:rPr>
                            <w:rFonts w:eastAsia="Times New Roman"/>
                          </w:rPr>
                        </w:pPr>
                        <w:r>
                          <w:rPr>
                            <w:rStyle w:val="Strong"/>
                            <w:rFonts w:ascii="Arial" w:eastAsia="Times New Roman" w:hAnsi="Arial" w:cs="Arial"/>
                            <w:sz w:val="20"/>
                            <w:szCs w:val="20"/>
                          </w:rPr>
                          <w:t>PRESS RELEASE</w:t>
                        </w:r>
                      </w:p>
                    </w:tc>
                    <w:tc>
                      <w:tcPr>
                        <w:tcW w:w="2500" w:type="pct"/>
                        <w:tcMar>
                          <w:top w:w="15" w:type="dxa"/>
                          <w:left w:w="15" w:type="dxa"/>
                          <w:bottom w:w="15" w:type="dxa"/>
                          <w:right w:w="15" w:type="dxa"/>
                        </w:tcMar>
                        <w:vAlign w:val="center"/>
                        <w:hideMark/>
                      </w:tcPr>
                      <w:p w14:paraId="5909DFE9" w14:textId="77777777" w:rsidR="007517DD" w:rsidRDefault="007517DD">
                        <w:pPr>
                          <w:jc w:val="right"/>
                          <w:rPr>
                            <w:rFonts w:eastAsia="Times New Roman"/>
                          </w:rPr>
                        </w:pPr>
                        <w:r>
                          <w:rPr>
                            <w:rFonts w:ascii="Arial" w:eastAsia="Times New Roman" w:hAnsi="Arial" w:cs="Arial"/>
                            <w:sz w:val="20"/>
                            <w:szCs w:val="20"/>
                          </w:rPr>
                          <w:t>Contact: Susan Gilbert</w:t>
                        </w:r>
                      </w:p>
                    </w:tc>
                  </w:tr>
                  <w:tr w:rsidR="007517DD" w14:paraId="23A4A293" w14:textId="77777777">
                    <w:trPr>
                      <w:tblCellSpacing w:w="7" w:type="dxa"/>
                    </w:trPr>
                    <w:tc>
                      <w:tcPr>
                        <w:tcW w:w="2500" w:type="pct"/>
                        <w:tcMar>
                          <w:top w:w="15" w:type="dxa"/>
                          <w:left w:w="15" w:type="dxa"/>
                          <w:bottom w:w="15" w:type="dxa"/>
                          <w:right w:w="15" w:type="dxa"/>
                        </w:tcMar>
                        <w:vAlign w:val="center"/>
                        <w:hideMark/>
                      </w:tcPr>
                      <w:p w14:paraId="28B4F209" w14:textId="77777777" w:rsidR="007517DD" w:rsidRDefault="007517DD">
                        <w:pPr>
                          <w:rPr>
                            <w:rFonts w:eastAsia="Times New Roman"/>
                          </w:rPr>
                        </w:pPr>
                        <w:r>
                          <w:rPr>
                            <w:rFonts w:ascii="Arial" w:eastAsia="Times New Roman" w:hAnsi="Arial" w:cs="Arial"/>
                            <w:sz w:val="20"/>
                            <w:szCs w:val="20"/>
                          </w:rPr>
                          <w:t>For Immediate Release</w:t>
                        </w:r>
                      </w:p>
                    </w:tc>
                    <w:tc>
                      <w:tcPr>
                        <w:tcW w:w="2500" w:type="pct"/>
                        <w:tcMar>
                          <w:top w:w="15" w:type="dxa"/>
                          <w:left w:w="15" w:type="dxa"/>
                          <w:bottom w:w="15" w:type="dxa"/>
                          <w:right w:w="15" w:type="dxa"/>
                        </w:tcMar>
                        <w:vAlign w:val="center"/>
                        <w:hideMark/>
                      </w:tcPr>
                      <w:p w14:paraId="40B61085" w14:textId="77777777" w:rsidR="007517DD" w:rsidRDefault="007517DD">
                        <w:pPr>
                          <w:jc w:val="right"/>
                          <w:rPr>
                            <w:rFonts w:eastAsia="Times New Roman"/>
                          </w:rPr>
                        </w:pPr>
                        <w:r>
                          <w:rPr>
                            <w:rFonts w:ascii="Arial" w:eastAsia="Times New Roman" w:hAnsi="Arial" w:cs="Arial"/>
                            <w:sz w:val="20"/>
                            <w:szCs w:val="20"/>
                          </w:rPr>
                          <w:t>1-845-424-4040, ext. 244</w:t>
                        </w:r>
                      </w:p>
                    </w:tc>
                  </w:tr>
                  <w:tr w:rsidR="007517DD" w14:paraId="32AB0091" w14:textId="77777777">
                    <w:trPr>
                      <w:tblCellSpacing w:w="7" w:type="dxa"/>
                    </w:trPr>
                    <w:tc>
                      <w:tcPr>
                        <w:tcW w:w="2500" w:type="pct"/>
                        <w:tcMar>
                          <w:top w:w="15" w:type="dxa"/>
                          <w:left w:w="15" w:type="dxa"/>
                          <w:bottom w:w="15" w:type="dxa"/>
                          <w:right w:w="15" w:type="dxa"/>
                        </w:tcMar>
                        <w:vAlign w:val="center"/>
                        <w:hideMark/>
                      </w:tcPr>
                      <w:p w14:paraId="7DFD9639" w14:textId="77777777" w:rsidR="007517DD" w:rsidRDefault="007517DD">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04790B16" w14:textId="77777777" w:rsidR="007517DD" w:rsidRDefault="007517DD">
                        <w:pPr>
                          <w:jc w:val="right"/>
                          <w:rPr>
                            <w:rFonts w:eastAsia="Times New Roman"/>
                          </w:rPr>
                        </w:pPr>
                        <w:hyperlink r:id="rId6" w:history="1">
                          <w:r>
                            <w:rPr>
                              <w:rStyle w:val="Hyperlink"/>
                              <w:rFonts w:ascii="Arial" w:eastAsia="Times New Roman" w:hAnsi="Arial" w:cs="Arial"/>
                              <w:sz w:val="17"/>
                              <w:szCs w:val="17"/>
                            </w:rPr>
                            <w:t>gilberts@thehastingscenter.org</w:t>
                          </w:r>
                        </w:hyperlink>
                      </w:p>
                    </w:tc>
                  </w:tr>
                  <w:tr w:rsidR="007517DD" w14:paraId="1F308609" w14:textId="77777777">
                    <w:trPr>
                      <w:trHeight w:val="450"/>
                      <w:tblCellSpacing w:w="7" w:type="dxa"/>
                    </w:trPr>
                    <w:tc>
                      <w:tcPr>
                        <w:tcW w:w="2500" w:type="pct"/>
                        <w:gridSpan w:val="2"/>
                        <w:tcMar>
                          <w:top w:w="15" w:type="dxa"/>
                          <w:left w:w="15" w:type="dxa"/>
                          <w:bottom w:w="15" w:type="dxa"/>
                          <w:right w:w="15" w:type="dxa"/>
                        </w:tcMar>
                        <w:vAlign w:val="center"/>
                        <w:hideMark/>
                      </w:tcPr>
                      <w:p w14:paraId="65418FA4" w14:textId="77777777" w:rsidR="007517DD" w:rsidRDefault="007517DD">
                        <w:pPr>
                          <w:rPr>
                            <w:rFonts w:eastAsia="Times New Roman"/>
                          </w:rPr>
                        </w:pPr>
                        <w:r>
                          <w:rPr>
                            <w:rFonts w:ascii="Arial" w:eastAsia="Times New Roman" w:hAnsi="Arial" w:cs="Arial"/>
                            <w:sz w:val="20"/>
                            <w:szCs w:val="20"/>
                          </w:rPr>
                          <w:t> </w:t>
                        </w:r>
                      </w:p>
                    </w:tc>
                  </w:tr>
                  <w:tr w:rsidR="007517DD" w14:paraId="4EE7E4FF" w14:textId="77777777">
                    <w:trPr>
                      <w:tblCellSpacing w:w="7" w:type="dxa"/>
                    </w:trPr>
                    <w:tc>
                      <w:tcPr>
                        <w:tcW w:w="2500" w:type="pct"/>
                        <w:gridSpan w:val="2"/>
                        <w:tcMar>
                          <w:top w:w="15" w:type="dxa"/>
                          <w:left w:w="15" w:type="dxa"/>
                          <w:bottom w:w="15" w:type="dxa"/>
                          <w:right w:w="15" w:type="dxa"/>
                        </w:tcMar>
                        <w:vAlign w:val="center"/>
                        <w:hideMark/>
                      </w:tcPr>
                      <w:p w14:paraId="2392B9A0" w14:textId="77777777" w:rsidR="007517DD" w:rsidRDefault="007517DD">
                        <w:pPr>
                          <w:pStyle w:val="Heading2"/>
                          <w:rPr>
                            <w:rFonts w:eastAsia="Times New Roman"/>
                          </w:rPr>
                        </w:pPr>
                        <w:r>
                          <w:rPr>
                            <w:rStyle w:val="Strong"/>
                            <w:rFonts w:ascii="Arial" w:eastAsia="Times New Roman" w:hAnsi="Arial" w:cs="Arial"/>
                            <w:b/>
                            <w:bCs/>
                          </w:rPr>
                          <w:t>Health Equity, Racism, and This Moment in Time</w:t>
                        </w:r>
                        <w:r>
                          <w:rPr>
                            <w:rFonts w:ascii="Arial" w:eastAsia="Times New Roman" w:hAnsi="Arial" w:cs="Arial"/>
                            <w:sz w:val="20"/>
                            <w:szCs w:val="20"/>
                          </w:rPr>
                          <w:br/>
                        </w:r>
                        <w:r>
                          <w:rPr>
                            <w:rStyle w:val="Emphasis"/>
                            <w:rFonts w:ascii="Arial" w:eastAsia="Times New Roman" w:hAnsi="Arial" w:cs="Arial"/>
                          </w:rPr>
                          <w:t>Hastings Center online event next week</w:t>
                        </w:r>
                      </w:p>
                    </w:tc>
                  </w:tr>
                  <w:tr w:rsidR="007517DD" w14:paraId="57E4664A" w14:textId="77777777">
                    <w:trPr>
                      <w:tblCellSpacing w:w="7" w:type="dxa"/>
                    </w:trPr>
                    <w:tc>
                      <w:tcPr>
                        <w:tcW w:w="2500" w:type="pct"/>
                        <w:gridSpan w:val="2"/>
                        <w:tcMar>
                          <w:top w:w="15" w:type="dxa"/>
                          <w:left w:w="15" w:type="dxa"/>
                          <w:bottom w:w="15" w:type="dxa"/>
                          <w:right w:w="15" w:type="dxa"/>
                        </w:tcMar>
                        <w:vAlign w:val="center"/>
                        <w:hideMark/>
                      </w:tcPr>
                      <w:p w14:paraId="3148FB7B" w14:textId="77777777" w:rsidR="007517DD" w:rsidRDefault="007517DD">
                        <w:pPr>
                          <w:rPr>
                            <w:rFonts w:eastAsia="Times New Roman"/>
                          </w:rPr>
                        </w:pPr>
                        <w:r>
                          <w:rPr>
                            <w:rFonts w:ascii="Arial" w:eastAsia="Times New Roman" w:hAnsi="Arial" w:cs="Arial"/>
                            <w:sz w:val="20"/>
                            <w:szCs w:val="20"/>
                          </w:rPr>
                          <w:t> </w:t>
                        </w:r>
                      </w:p>
                    </w:tc>
                  </w:tr>
                  <w:tr w:rsidR="007517DD" w14:paraId="20814BEB" w14:textId="77777777">
                    <w:trPr>
                      <w:tblCellSpacing w:w="7" w:type="dxa"/>
                    </w:trPr>
                    <w:tc>
                      <w:tcPr>
                        <w:tcW w:w="2500" w:type="pct"/>
                        <w:gridSpan w:val="2"/>
                        <w:tcMar>
                          <w:top w:w="15" w:type="dxa"/>
                          <w:left w:w="15" w:type="dxa"/>
                          <w:bottom w:w="15" w:type="dxa"/>
                          <w:right w:w="15" w:type="dxa"/>
                        </w:tcMar>
                        <w:hideMark/>
                      </w:tcPr>
                      <w:p w14:paraId="7034FF18" w14:textId="77777777" w:rsidR="007517DD" w:rsidRDefault="007517DD">
                        <w:pPr>
                          <w:rPr>
                            <w:rFonts w:eastAsia="Times New Roman"/>
                          </w:rPr>
                        </w:pPr>
                        <w:r>
                          <w:rPr>
                            <w:rFonts w:eastAsia="Times New Roman"/>
                          </w:rPr>
                          <w:t xml:space="preserve">  </w:t>
                        </w:r>
                      </w:p>
                      <w:p w14:paraId="3C2B303C" w14:textId="77777777" w:rsidR="007517DD" w:rsidRDefault="007517DD">
                        <w:pPr>
                          <w:pStyle w:val="NormalWeb"/>
                          <w:spacing w:after="160"/>
                        </w:pPr>
                        <w:r>
                          <w:rPr>
                            <w:rFonts w:ascii="Times New Roman" w:hAnsi="Times New Roman"/>
                            <w:sz w:val="24"/>
                            <w:szCs w:val="24"/>
                          </w:rPr>
                          <w:t xml:space="preserve">The Hastings Center will host “Health Equity, Racism, and This Moment in Time,” the first in a </w:t>
                        </w:r>
                        <w:r>
                          <w:rPr>
                            <w:rStyle w:val="Emphasis"/>
                            <w:rFonts w:ascii="Times New Roman" w:hAnsi="Times New Roman"/>
                            <w:sz w:val="24"/>
                            <w:szCs w:val="24"/>
                          </w:rPr>
                          <w:t>Hastings Conversations</w:t>
                        </w:r>
                        <w:r>
                          <w:rPr>
                            <w:rFonts w:ascii="Times New Roman" w:hAnsi="Times New Roman"/>
                            <w:sz w:val="24"/>
                            <w:szCs w:val="24"/>
                          </w:rPr>
                          <w:t xml:space="preserve"> discussion series, </w:t>
                        </w:r>
                        <w:r>
                          <w:rPr>
                            <w:rStyle w:val="Strong"/>
                            <w:rFonts w:ascii="Times New Roman" w:hAnsi="Times New Roman"/>
                            <w:sz w:val="24"/>
                            <w:szCs w:val="24"/>
                          </w:rPr>
                          <w:t xml:space="preserve">Securing Health in a Troubled Time. </w:t>
                        </w:r>
                      </w:p>
                      <w:p w14:paraId="5FE632A8" w14:textId="77777777" w:rsidR="007517DD" w:rsidRDefault="007517DD">
                        <w:pPr>
                          <w:pStyle w:val="NormalWeb"/>
                          <w:spacing w:after="160"/>
                        </w:pPr>
                        <w:r>
                          <w:rPr>
                            <w:rFonts w:ascii="Times New Roman" w:hAnsi="Times New Roman"/>
                            <w:sz w:val="24"/>
                            <w:szCs w:val="24"/>
                          </w:rPr>
                          <w:t xml:space="preserve">Disparate health outcomes for people of color and the poor have been recognized for decades, but the pandemic has made them inescapably visible. Visible too is the racism that accounts for the cruelty witnessed, as millions watched George Floyd’s murder.  We know the social causes of these inequities and the policies that could address them. Yet as a nation, we have failed to act. Now, we face three simultaneous crises – in public health, in the economy, and in the American relationship to race. Can we seize the moment to advance health and well-being for all of us?  </w:t>
                        </w:r>
                        <w:proofErr w:type="gramStart"/>
                        <w:r>
                          <w:rPr>
                            <w:rFonts w:ascii="Times New Roman" w:hAnsi="Times New Roman"/>
                            <w:sz w:val="24"/>
                            <w:szCs w:val="24"/>
                          </w:rPr>
                          <w:t>What’s</w:t>
                        </w:r>
                        <w:proofErr w:type="gramEnd"/>
                        <w:r>
                          <w:rPr>
                            <w:rFonts w:ascii="Times New Roman" w:hAnsi="Times New Roman"/>
                            <w:sz w:val="24"/>
                            <w:szCs w:val="24"/>
                          </w:rPr>
                          <w:t xml:space="preserve"> at stake if we don’t? What are the best ways to proceed?</w:t>
                        </w:r>
                      </w:p>
                      <w:p w14:paraId="1D322E1A" w14:textId="77777777" w:rsidR="007517DD" w:rsidRDefault="007517DD">
                        <w:pPr>
                          <w:pStyle w:val="NormalWeb"/>
                          <w:spacing w:after="160"/>
                        </w:pPr>
                        <w:r>
                          <w:rPr>
                            <w:rFonts w:ascii="Times New Roman" w:hAnsi="Times New Roman"/>
                            <w:sz w:val="24"/>
                            <w:szCs w:val="24"/>
                          </w:rPr>
                          <w:t xml:space="preserve">Join this </w:t>
                        </w:r>
                        <w:r>
                          <w:rPr>
                            <w:rStyle w:val="Emphasis"/>
                            <w:rFonts w:ascii="Times New Roman" w:hAnsi="Times New Roman"/>
                            <w:sz w:val="24"/>
                            <w:szCs w:val="24"/>
                          </w:rPr>
                          <w:t>Hastings Conversations</w:t>
                        </w:r>
                        <w:r>
                          <w:rPr>
                            <w:rFonts w:ascii="Times New Roman" w:hAnsi="Times New Roman"/>
                            <w:sz w:val="24"/>
                            <w:szCs w:val="24"/>
                          </w:rPr>
                          <w:t xml:space="preserve"> event with: </w:t>
                        </w:r>
                      </w:p>
                      <w:p w14:paraId="291F5178" w14:textId="77777777" w:rsidR="007517DD" w:rsidRDefault="007517DD">
                        <w:pPr>
                          <w:pStyle w:val="NormalWeb"/>
                          <w:spacing w:after="160"/>
                        </w:pPr>
                        <w:r>
                          <w:rPr>
                            <w:rFonts w:ascii="Times New Roman" w:hAnsi="Times New Roman"/>
                            <w:sz w:val="24"/>
                            <w:szCs w:val="24"/>
                          </w:rPr>
                          <w:t>Richard Besser, President, The Robert Wood Johnson Foundation and former acting director for the Centers for Disease Control and Prevention</w:t>
                        </w:r>
                      </w:p>
                      <w:p w14:paraId="31854103" w14:textId="77777777" w:rsidR="007517DD" w:rsidRDefault="007517DD">
                        <w:pPr>
                          <w:pStyle w:val="NormalWeb"/>
                          <w:spacing w:after="160"/>
                        </w:pPr>
                        <w:r>
                          <w:rPr>
                            <w:rFonts w:ascii="Times New Roman" w:hAnsi="Times New Roman"/>
                            <w:sz w:val="24"/>
                            <w:szCs w:val="24"/>
                          </w:rPr>
                          <w:t>Herminia Palacio, President, The Guttmacher Institute and former Deputy Mayor for Health and Human Services for the City of New York</w:t>
                        </w:r>
                      </w:p>
                      <w:p w14:paraId="601BD074" w14:textId="77777777" w:rsidR="007517DD" w:rsidRDefault="007517DD">
                        <w:pPr>
                          <w:pStyle w:val="NormalWeb"/>
                          <w:spacing w:after="160"/>
                        </w:pPr>
                        <w:r>
                          <w:rPr>
                            <w:rFonts w:ascii="Times New Roman" w:hAnsi="Times New Roman"/>
                            <w:sz w:val="24"/>
                            <w:szCs w:val="24"/>
                          </w:rPr>
                          <w:t>Mildred Z. Solomon, President, The Hastings Center</w:t>
                        </w:r>
                      </w:p>
                      <w:p w14:paraId="2618CD1B" w14:textId="77777777" w:rsidR="007517DD" w:rsidRDefault="007517DD">
                        <w:pPr>
                          <w:pStyle w:val="NormalWeb"/>
                          <w:spacing w:after="160"/>
                        </w:pPr>
                        <w:r>
                          <w:rPr>
                            <w:rFonts w:ascii="Times New Roman" w:hAnsi="Times New Roman"/>
                            <w:sz w:val="24"/>
                            <w:szCs w:val="24"/>
                          </w:rPr>
                          <w:t xml:space="preserve">The event will take place online on </w:t>
                        </w:r>
                        <w:r>
                          <w:rPr>
                            <w:rStyle w:val="Strong"/>
                            <w:rFonts w:ascii="Times New Roman" w:hAnsi="Times New Roman"/>
                            <w:sz w:val="24"/>
                            <w:szCs w:val="24"/>
                          </w:rPr>
                          <w:t>Thursday, August 13, from 11 a.m. to 12 p.m. Eastern time</w:t>
                        </w:r>
                        <w:r>
                          <w:rPr>
                            <w:rFonts w:ascii="Times New Roman" w:hAnsi="Times New Roman"/>
                            <w:sz w:val="24"/>
                            <w:szCs w:val="24"/>
                          </w:rPr>
                          <w:t xml:space="preserve">. </w:t>
                        </w:r>
                        <w:hyperlink r:id="rId7" w:history="1">
                          <w:r>
                            <w:rPr>
                              <w:rStyle w:val="Hyperlink"/>
                              <w:rFonts w:ascii="Times New Roman" w:hAnsi="Times New Roman"/>
                              <w:color w:val="0563C1"/>
                              <w:sz w:val="24"/>
                              <w:szCs w:val="24"/>
                            </w:rPr>
                            <w:t>Learn more and register here</w:t>
                          </w:r>
                        </w:hyperlink>
                        <w:r>
                          <w:rPr>
                            <w:rFonts w:ascii="Times New Roman" w:hAnsi="Times New Roman"/>
                            <w:sz w:val="24"/>
                            <w:szCs w:val="24"/>
                          </w:rPr>
                          <w:t xml:space="preserve">. </w:t>
                        </w:r>
                      </w:p>
                    </w:tc>
                  </w:tr>
                  <w:tr w:rsidR="007517DD" w14:paraId="095F028C" w14:textId="77777777">
                    <w:trPr>
                      <w:tblCellSpacing w:w="7" w:type="dxa"/>
                    </w:trPr>
                    <w:tc>
                      <w:tcPr>
                        <w:tcW w:w="2500" w:type="pct"/>
                        <w:gridSpan w:val="2"/>
                        <w:tcMar>
                          <w:top w:w="15" w:type="dxa"/>
                          <w:left w:w="15" w:type="dxa"/>
                          <w:bottom w:w="15" w:type="dxa"/>
                          <w:right w:w="15" w:type="dxa"/>
                        </w:tcMar>
                        <w:hideMark/>
                      </w:tcPr>
                      <w:p w14:paraId="1B4A3850" w14:textId="77777777" w:rsidR="007517DD" w:rsidRDefault="007517DD">
                        <w:pPr>
                          <w:rPr>
                            <w:rFonts w:eastAsia="Times New Roman"/>
                          </w:rPr>
                        </w:pPr>
                        <w:r>
                          <w:rPr>
                            <w:rFonts w:ascii="Arial" w:eastAsia="Times New Roman" w:hAnsi="Arial" w:cs="Arial"/>
                            <w:sz w:val="20"/>
                            <w:szCs w:val="20"/>
                          </w:rPr>
                          <w:t>  </w:t>
                        </w:r>
                      </w:p>
                    </w:tc>
                  </w:tr>
                  <w:tr w:rsidR="007517DD" w14:paraId="0C734C40" w14:textId="77777777">
                    <w:trPr>
                      <w:tblCellSpacing w:w="7" w:type="dxa"/>
                    </w:trPr>
                    <w:tc>
                      <w:tcPr>
                        <w:tcW w:w="2500" w:type="pct"/>
                        <w:gridSpan w:val="2"/>
                        <w:tcMar>
                          <w:top w:w="15" w:type="dxa"/>
                          <w:left w:w="15" w:type="dxa"/>
                          <w:bottom w:w="15" w:type="dxa"/>
                          <w:right w:w="15" w:type="dxa"/>
                        </w:tcMar>
                        <w:hideMark/>
                      </w:tcPr>
                      <w:p w14:paraId="1CF17227" w14:textId="77777777" w:rsidR="007517DD" w:rsidRDefault="007517DD">
                        <w:pPr>
                          <w:jc w:val="center"/>
                          <w:rPr>
                            <w:rFonts w:eastAsia="Times New Roman"/>
                          </w:rPr>
                        </w:pPr>
                        <w:r>
                          <w:rPr>
                            <w:rFonts w:eastAsia="Times New Roman"/>
                          </w:rPr>
                          <w:pict w14:anchorId="772EAA85">
                            <v:rect id="_x0000_i1026" style="width:468pt;height:.75pt" o:hralign="center" o:hrstd="t" o:hr="t" fillcolor="#a0a0a0" stroked="f"/>
                          </w:pict>
                        </w:r>
                      </w:p>
                      <w:p w14:paraId="75B50BF8" w14:textId="77777777" w:rsidR="007517DD" w:rsidRDefault="007517DD">
                        <w:pPr>
                          <w:pStyle w:val="NormalWeb"/>
                        </w:pPr>
                        <w:r>
                          <w:rPr>
                            <w:rFonts w:ascii="Arial" w:hAnsi="Arial" w:cs="Arial"/>
                            <w:sz w:val="20"/>
                            <w:szCs w:val="20"/>
                          </w:rPr>
                          <w:t xml:space="preserve">The Hastings Center is a nonpartisan bioethics research institution dedicated to bioethics and the public interest since 1969. The Center is a pioneer in collaborative </w:t>
                        </w:r>
                        <w:r>
                          <w:rPr>
                            <w:rFonts w:ascii="Arial" w:hAnsi="Arial" w:cs="Arial"/>
                            <w:sz w:val="20"/>
                            <w:szCs w:val="20"/>
                          </w:rPr>
                          <w:lastRenderedPageBreak/>
                          <w:t xml:space="preserve">interdisciplinary research and dialogue on the ethical and social impact of advances in health care and the life sciences. The Center draws on a worldwide network of experts to frame and examine issues that inform professional practice, public conversation, and social policy. Learn more about The Hastings Center at </w:t>
                        </w:r>
                        <w:hyperlink r:id="rId8" w:history="1">
                          <w:r>
                            <w:rPr>
                              <w:rStyle w:val="Hyperlink"/>
                              <w:rFonts w:ascii="Arial" w:hAnsi="Arial" w:cs="Arial"/>
                              <w:sz w:val="20"/>
                              <w:szCs w:val="20"/>
                            </w:rPr>
                            <w:t>www.thehastingscenter.org</w:t>
                          </w:r>
                        </w:hyperlink>
                        <w:r>
                          <w:rPr>
                            <w:rFonts w:ascii="Arial" w:hAnsi="Arial" w:cs="Arial"/>
                            <w:sz w:val="20"/>
                            <w:szCs w:val="20"/>
                          </w:rPr>
                          <w:t>.</w:t>
                        </w:r>
                      </w:p>
                      <w:p w14:paraId="3D992613" w14:textId="77777777" w:rsidR="007517DD" w:rsidRDefault="007517DD">
                        <w:pPr>
                          <w:pStyle w:val="NormalWeb"/>
                        </w:pPr>
                        <w:r>
                          <w:rPr>
                            <w:rFonts w:ascii="Arial" w:hAnsi="Arial" w:cs="Arial"/>
                            <w:sz w:val="20"/>
                            <w:szCs w:val="20"/>
                          </w:rPr>
                          <w:t xml:space="preserve">Follow us on Twitter at </w:t>
                        </w:r>
                        <w:hyperlink r:id="rId9" w:history="1">
                          <w:proofErr w:type="spellStart"/>
                          <w:r>
                            <w:rPr>
                              <w:rStyle w:val="Hyperlink"/>
                              <w:rFonts w:ascii="Arial" w:hAnsi="Arial" w:cs="Arial"/>
                              <w:sz w:val="20"/>
                              <w:szCs w:val="20"/>
                            </w:rPr>
                            <w:t>hastingscenter</w:t>
                          </w:r>
                          <w:proofErr w:type="spellEnd"/>
                        </w:hyperlink>
                      </w:p>
                      <w:p w14:paraId="37567FD8" w14:textId="77777777" w:rsidR="007517DD" w:rsidRDefault="007517DD">
                        <w:pPr>
                          <w:rPr>
                            <w:rFonts w:eastAsia="Times New Roman"/>
                          </w:rPr>
                        </w:pPr>
                        <w:r>
                          <w:rPr>
                            <w:rFonts w:ascii="Arial" w:eastAsia="Times New Roman" w:hAnsi="Arial" w:cs="Arial"/>
                            <w:sz w:val="20"/>
                            <w:szCs w:val="20"/>
                          </w:rPr>
                          <w:t> </w:t>
                        </w:r>
                      </w:p>
                    </w:tc>
                  </w:tr>
                </w:tbl>
                <w:p w14:paraId="3E40F15E" w14:textId="77777777" w:rsidR="007517DD" w:rsidRDefault="007517DD">
                  <w:pPr>
                    <w:rPr>
                      <w:rFonts w:ascii="Times New Roman" w:eastAsia="Times New Roman" w:hAnsi="Times New Roman"/>
                      <w:sz w:val="20"/>
                      <w:szCs w:val="20"/>
                    </w:rPr>
                  </w:pPr>
                </w:p>
              </w:tc>
            </w:tr>
          </w:tbl>
          <w:p w14:paraId="12F5C364" w14:textId="77777777" w:rsidR="007517DD" w:rsidRDefault="007517DD">
            <w:pPr>
              <w:rPr>
                <w:rFonts w:ascii="Times New Roman" w:eastAsia="Times New Roman" w:hAnsi="Times New Roman"/>
                <w:sz w:val="20"/>
                <w:szCs w:val="20"/>
              </w:rPr>
            </w:pPr>
          </w:p>
        </w:tc>
      </w:tr>
    </w:tbl>
    <w:p w14:paraId="2EC96DD4" w14:textId="77777777" w:rsidR="00C50BB3" w:rsidRDefault="007517DD"/>
    <w:sectPr w:rsidR="00C5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DD"/>
    <w:rsid w:val="007517DD"/>
    <w:rsid w:val="007E3063"/>
    <w:rsid w:val="00B7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58BE"/>
  <w15:chartTrackingRefBased/>
  <w15:docId w15:val="{ECC5C88F-22EE-4806-91C3-84003300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DD"/>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517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17DD"/>
    <w:rPr>
      <w:rFonts w:ascii="Calibri" w:hAnsi="Calibri" w:cs="Times New Roman"/>
      <w:b/>
      <w:bCs/>
      <w:sz w:val="36"/>
      <w:szCs w:val="36"/>
    </w:rPr>
  </w:style>
  <w:style w:type="character" w:styleId="Hyperlink">
    <w:name w:val="Hyperlink"/>
    <w:basedOn w:val="DefaultParagraphFont"/>
    <w:uiPriority w:val="99"/>
    <w:semiHidden/>
    <w:unhideWhenUsed/>
    <w:rsid w:val="007517DD"/>
    <w:rPr>
      <w:color w:val="0000FF"/>
      <w:u w:val="single"/>
    </w:rPr>
  </w:style>
  <w:style w:type="paragraph" w:styleId="NormalWeb">
    <w:name w:val="Normal (Web)"/>
    <w:basedOn w:val="Normal"/>
    <w:uiPriority w:val="99"/>
    <w:semiHidden/>
    <w:unhideWhenUsed/>
    <w:rsid w:val="007517DD"/>
  </w:style>
  <w:style w:type="character" w:styleId="Strong">
    <w:name w:val="Strong"/>
    <w:basedOn w:val="DefaultParagraphFont"/>
    <w:uiPriority w:val="22"/>
    <w:qFormat/>
    <w:rsid w:val="007517DD"/>
    <w:rPr>
      <w:b/>
      <w:bCs/>
    </w:rPr>
  </w:style>
  <w:style w:type="character" w:styleId="Emphasis">
    <w:name w:val="Emphasis"/>
    <w:basedOn w:val="DefaultParagraphFont"/>
    <w:uiPriority w:val="20"/>
    <w:qFormat/>
    <w:rsid w:val="00751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astingscenter.org/?utm_source=Vocus&amp;utm_medium=email&amp;utm_campaign=about-hastings-center" TargetMode="External"/><Relationship Id="rId3" Type="http://schemas.openxmlformats.org/officeDocument/2006/relationships/webSettings" Target="webSettings.xml"/><Relationship Id="rId7" Type="http://schemas.openxmlformats.org/officeDocument/2006/relationships/hyperlink" Target="https://www.thehastingscenter.org/health-equity-rac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berts@thehastingscenter.org?subject=Press%20Release%20Respon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thehastingscenter.org/?utm_source=email&amp;utm_medium=Vocus&amp;utm_campaign=email-header" TargetMode="External"/><Relationship Id="rId9" Type="http://schemas.openxmlformats.org/officeDocument/2006/relationships/hyperlink" Target="http://twitter.com/hasting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Chibbaro</dc:creator>
  <cp:keywords/>
  <dc:description/>
  <cp:lastModifiedBy>Julie Chibbaro</cp:lastModifiedBy>
  <cp:revision>1</cp:revision>
  <dcterms:created xsi:type="dcterms:W3CDTF">2020-08-03T18:48:00Z</dcterms:created>
  <dcterms:modified xsi:type="dcterms:W3CDTF">2020-08-03T18:48:00Z</dcterms:modified>
</cp:coreProperties>
</file>