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7269754"/>
        <w:docPartObj>
          <w:docPartGallery w:val="Cover Pages"/>
          <w:docPartUnique/>
        </w:docPartObj>
      </w:sdtPr>
      <w:sdtContent>
        <w:p w14:paraId="75FA92CF" w14:textId="3DEE11D3" w:rsidR="00273192" w:rsidRDefault="00273192"/>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273192" w14:paraId="0E566BA7" w14:textId="77777777" w:rsidTr="00273192">
            <w:tc>
              <w:tcPr>
                <w:tcW w:w="7476" w:type="dxa"/>
                <w:tcMar>
                  <w:top w:w="216" w:type="dxa"/>
                  <w:left w:w="115" w:type="dxa"/>
                  <w:bottom w:w="216" w:type="dxa"/>
                  <w:right w:w="115" w:type="dxa"/>
                </w:tcMar>
              </w:tcPr>
              <w:p w14:paraId="28DF01D7" w14:textId="5FBE4E6A" w:rsidR="00273192" w:rsidRPr="00273192" w:rsidRDefault="00273192" w:rsidP="00273192">
                <w:pPr>
                  <w:pStyle w:val="NoSpacing"/>
                  <w:rPr>
                    <w:color w:val="0F4761" w:themeColor="accent1" w:themeShade="BF"/>
                    <w:sz w:val="40"/>
                    <w:szCs w:val="40"/>
                  </w:rPr>
                </w:pPr>
                <w:r w:rsidRPr="00273192">
                  <w:rPr>
                    <w:sz w:val="40"/>
                    <w:szCs w:val="40"/>
                  </w:rPr>
                  <w:t xml:space="preserve">Ten Questions for Ethics Committees </w:t>
                </w:r>
                <w:r w:rsidRPr="00273192">
                  <w:rPr>
                    <w:sz w:val="40"/>
                    <w:szCs w:val="40"/>
                  </w:rPr>
                  <w:br/>
                  <w:t xml:space="preserve">Evaluating the Strength of Evidence in </w:t>
                </w:r>
                <w:r w:rsidRPr="00273192">
                  <w:rPr>
                    <w:sz w:val="40"/>
                    <w:szCs w:val="40"/>
                  </w:rPr>
                  <w:br/>
                  <w:t>Support of Early Phase Trials</w:t>
                </w:r>
              </w:p>
            </w:tc>
          </w:tr>
          <w:tr w:rsidR="00273192" w14:paraId="740E1FB1" w14:textId="77777777" w:rsidTr="00273192">
            <w:tc>
              <w:tcPr>
                <w:tcW w:w="7476" w:type="dxa"/>
              </w:tcPr>
              <w:p w14:paraId="246C9147" w14:textId="22D31186" w:rsidR="00273192" w:rsidRDefault="00273192" w:rsidP="00273192">
                <w:pPr>
                  <w:pStyle w:val="NoSpacing"/>
                  <w:spacing w:line="216" w:lineRule="auto"/>
                  <w:rPr>
                    <w:rFonts w:asciiTheme="majorHAnsi" w:eastAsiaTheme="majorEastAsia" w:hAnsiTheme="majorHAnsi" w:cstheme="majorBidi"/>
                    <w:color w:val="156082" w:themeColor="accent1"/>
                    <w:sz w:val="88"/>
                    <w:szCs w:val="88"/>
                  </w:rPr>
                </w:pPr>
              </w:p>
            </w:tc>
          </w:tr>
          <w:tr w:rsidR="00273192" w14:paraId="7F233C07" w14:textId="77777777" w:rsidTr="00273192">
            <w:trPr>
              <w:trHeight w:val="20"/>
            </w:trPr>
            <w:tc>
              <w:tcPr>
                <w:tcW w:w="7476" w:type="dxa"/>
                <w:tcMar>
                  <w:top w:w="216" w:type="dxa"/>
                  <w:left w:w="115" w:type="dxa"/>
                  <w:bottom w:w="216" w:type="dxa"/>
                  <w:right w:w="115" w:type="dxa"/>
                </w:tcMar>
              </w:tcPr>
              <w:p w14:paraId="5CE2AD67" w14:textId="389FF955" w:rsidR="00273192" w:rsidRDefault="00273192">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273192" w14:paraId="6CBA0F4B" w14:textId="77777777">
            <w:tc>
              <w:tcPr>
                <w:tcW w:w="7221" w:type="dxa"/>
                <w:tcMar>
                  <w:top w:w="216" w:type="dxa"/>
                  <w:left w:w="115" w:type="dxa"/>
                  <w:bottom w:w="216" w:type="dxa"/>
                  <w:right w:w="115" w:type="dxa"/>
                </w:tcMar>
              </w:tcPr>
              <w:sdt>
                <w:sdtPr>
                  <w:rPr>
                    <w:rFonts w:ascii="Minion Pro" w:hAnsi="Minion Pro" w:cs="Minion Pro"/>
                    <w:smallCaps/>
                    <w:color w:val="000000"/>
                    <w:sz w:val="28"/>
                    <w:szCs w:val="28"/>
                  </w:rPr>
                  <w:alias w:val="Author"/>
                  <w:id w:val="13406928"/>
                  <w:placeholder>
                    <w:docPart w:val="729CFF1870094EAFB3FF2E44FD66E102"/>
                  </w:placeholder>
                  <w:dataBinding w:prefixMappings="xmlns:ns0='http://schemas.openxmlformats.org/package/2006/metadata/core-properties' xmlns:ns1='http://purl.org/dc/elements/1.1/'" w:xpath="/ns0:coreProperties[1]/ns1:creator[1]" w:storeItemID="{6C3C8BC8-F283-45AE-878A-BAB7291924A1}"/>
                  <w:text/>
                </w:sdtPr>
                <w:sdtContent>
                  <w:p w14:paraId="05C2E32A" w14:textId="3551B328" w:rsidR="00273192" w:rsidRDefault="00273192">
                    <w:pPr>
                      <w:pStyle w:val="NoSpacing"/>
                      <w:rPr>
                        <w:color w:val="156082" w:themeColor="accent1"/>
                        <w:sz w:val="28"/>
                        <w:szCs w:val="28"/>
                      </w:rPr>
                    </w:pPr>
                    <w:r w:rsidRPr="00273192">
                      <w:rPr>
                        <w:rFonts w:ascii="Minion Pro" w:hAnsi="Minion Pro" w:cs="Minion Pro"/>
                        <w:smallCaps/>
                        <w:color w:val="000000"/>
                        <w:sz w:val="28"/>
                        <w:szCs w:val="28"/>
                      </w:rPr>
                      <w:t>Spencer Phillips Hey, Mark Fedyk, and</w:t>
                    </w:r>
                    <w:r>
                      <w:rPr>
                        <w:rFonts w:ascii="Minion Pro" w:hAnsi="Minion Pro" w:cs="Minion Pro"/>
                        <w:smallCaps/>
                        <w:color w:val="000000"/>
                        <w:sz w:val="28"/>
                        <w:szCs w:val="28"/>
                      </w:rPr>
                      <w:t xml:space="preserve"> </w:t>
                    </w:r>
                    <w:r w:rsidRPr="00273192">
                      <w:rPr>
                        <w:rFonts w:ascii="Minion Pro" w:hAnsi="Minion Pro" w:cs="Minion Pro"/>
                        <w:smallCaps/>
                        <w:color w:val="000000"/>
                        <w:sz w:val="28"/>
                        <w:szCs w:val="28"/>
                      </w:rPr>
                      <w:t>Jonathan Kimmelman</w:t>
                    </w:r>
                  </w:p>
                </w:sdtContent>
              </w:sdt>
              <w:p w14:paraId="2091773C" w14:textId="1C72FCF7" w:rsidR="00273192" w:rsidRDefault="00273192">
                <w:pPr>
                  <w:pStyle w:val="NoSpacing"/>
                  <w:rPr>
                    <w:color w:val="156082" w:themeColor="accent1"/>
                    <w:sz w:val="28"/>
                    <w:szCs w:val="28"/>
                  </w:rPr>
                </w:pPr>
              </w:p>
              <w:p w14:paraId="0797FC63" w14:textId="77777777" w:rsidR="00273192" w:rsidRDefault="00273192">
                <w:pPr>
                  <w:pStyle w:val="NoSpacing"/>
                  <w:rPr>
                    <w:color w:val="156082" w:themeColor="accent1"/>
                  </w:rPr>
                </w:pPr>
              </w:p>
            </w:tc>
          </w:tr>
        </w:tbl>
        <w:p w14:paraId="283E3817" w14:textId="48714EEF" w:rsidR="00273192" w:rsidRDefault="00273192">
          <w:pPr>
            <w:spacing w:after="160" w:line="278" w:lineRule="auto"/>
          </w:pPr>
          <w:r>
            <w:br w:type="page"/>
          </w:r>
        </w:p>
      </w:sdtContent>
    </w:sdt>
    <w:p w14:paraId="7081831C" w14:textId="6FB5B06D" w:rsidR="00EF5346" w:rsidRPr="00D302E6" w:rsidRDefault="00EF5346" w:rsidP="00EF5346">
      <w:pPr>
        <w:pStyle w:val="Heading2"/>
        <w:rPr>
          <w:rFonts w:ascii="Times New Roman" w:hAnsi="Times New Roman" w:cs="Times New Roman"/>
        </w:rPr>
      </w:pPr>
      <w:r w:rsidRPr="00D302E6">
        <w:rPr>
          <w:rFonts w:ascii="Times New Roman" w:hAnsi="Times New Roman" w:cs="Times New Roman"/>
        </w:rPr>
        <w:lastRenderedPageBreak/>
        <w:t>Appendix: PATH Risk/Benefit Assessment Worksheet</w:t>
      </w:r>
      <w:r w:rsidR="00662ACC" w:rsidRPr="00D302E6">
        <w:rPr>
          <w:rFonts w:ascii="Times New Roman" w:hAnsi="Times New Roman" w:cs="Times New Roman"/>
        </w:rPr>
        <w:t xml:space="preserve"> Applied to a Trial</w:t>
      </w:r>
      <w:r w:rsidR="009560F8">
        <w:rPr>
          <w:rFonts w:ascii="Times New Roman" w:hAnsi="Times New Roman" w:cs="Times New Roman"/>
        </w:rPr>
        <w:t xml:space="preserve"> (Worked Example)</w:t>
      </w:r>
    </w:p>
    <w:p w14:paraId="0C3F07BF" w14:textId="77777777" w:rsidR="00662ACC" w:rsidRPr="00D302E6" w:rsidRDefault="00662ACC" w:rsidP="00662ACC">
      <w:pPr>
        <w:rPr>
          <w:rFonts w:ascii="Times New Roman" w:hAnsi="Times New Roman" w:cs="Times New Roman"/>
        </w:rPr>
      </w:pPr>
    </w:p>
    <w:p w14:paraId="7B62E92D" w14:textId="77777777" w:rsidR="00662ACC" w:rsidRPr="00D302E6" w:rsidRDefault="00662ACC" w:rsidP="00662ACC">
      <w:pPr>
        <w:rPr>
          <w:rFonts w:ascii="Times New Roman" w:hAnsi="Times New Roman" w:cs="Times New Roman"/>
        </w:rPr>
      </w:pPr>
    </w:p>
    <w:p w14:paraId="1C8371BB" w14:textId="4552D7E9" w:rsidR="00662ACC" w:rsidRPr="00D302E6" w:rsidRDefault="00662ACC" w:rsidP="00662ACC">
      <w:pPr>
        <w:rPr>
          <w:rFonts w:ascii="Times New Roman" w:hAnsi="Times New Roman" w:cs="Times New Roman"/>
        </w:rPr>
      </w:pPr>
      <w:r w:rsidRPr="00D302E6">
        <w:rPr>
          <w:rFonts w:ascii="Times New Roman" w:hAnsi="Times New Roman" w:cs="Times New Roman"/>
        </w:rPr>
        <w:t>TEXT FROM PROTOCOL (NCT03205488)</w:t>
      </w:r>
    </w:p>
    <w:p w14:paraId="19DB8CEE" w14:textId="77777777" w:rsidR="00662ACC" w:rsidRPr="00D302E6" w:rsidRDefault="00662ACC" w:rsidP="00662ACC">
      <w:pPr>
        <w:rPr>
          <w:rFonts w:ascii="Times New Roman" w:hAnsi="Times New Roman" w:cs="Times New Roman"/>
        </w:rPr>
      </w:pPr>
    </w:p>
    <w:p w14:paraId="4D41333B" w14:textId="77777777" w:rsidR="00662ACC" w:rsidRPr="00D302E6" w:rsidRDefault="00662ACC" w:rsidP="00662ACC">
      <w:pPr>
        <w:pStyle w:val="NormalWeb"/>
      </w:pPr>
      <w:r w:rsidRPr="00D302E6">
        <w:t xml:space="preserve">Title: A Randomized, Double-Blind, Placebo-Controlled, Phase IIa, Parallel Group, Two-Cohort Study to Define the Safety, Tolerability, Clinical and Exploratory Biological Activity of the Chronic Administration of Nilotinib in Participants with Parkinson’s Disease (PD) </w:t>
      </w:r>
    </w:p>
    <w:p w14:paraId="59574D2D" w14:textId="6DE42A6B" w:rsidR="00662ACC" w:rsidRPr="00D302E6" w:rsidRDefault="00841B6B" w:rsidP="00662ACC">
      <w:pPr>
        <w:pStyle w:val="NormalWeb"/>
      </w:pPr>
      <w:r>
        <w:t xml:space="preserve">[NOTE: What follows is the actual text of supporting evidence. Text in </w:t>
      </w:r>
      <w:r w:rsidRPr="00517828">
        <w:rPr>
          <w:highlight w:val="yellow"/>
        </w:rPr>
        <w:t>grey</w:t>
      </w:r>
      <w:r>
        <w:t xml:space="preserve"> indicates information that would not be captured by PATH.]</w:t>
      </w:r>
    </w:p>
    <w:p w14:paraId="0538A306" w14:textId="77777777" w:rsidR="00662ACC" w:rsidRPr="00D302E6" w:rsidRDefault="00662ACC" w:rsidP="00662ACC">
      <w:pPr>
        <w:pStyle w:val="NormalWeb"/>
        <w:numPr>
          <w:ilvl w:val="1"/>
          <w:numId w:val="2"/>
        </w:numPr>
      </w:pPr>
      <w:r w:rsidRPr="00D302E6">
        <w:t>Background</w:t>
      </w:r>
    </w:p>
    <w:p w14:paraId="68D2D154" w14:textId="77777777" w:rsidR="00662ACC" w:rsidRPr="00273192" w:rsidRDefault="00662ACC" w:rsidP="00662ACC">
      <w:pPr>
        <w:pStyle w:val="NormalWeb"/>
      </w:pPr>
      <w:r w:rsidRPr="00273192">
        <w:t>Parkinson’s disease (PD) is the second most common neurodegenerative disease that affects 1% of the population above the age 65 11. The prevalence of PD will increase substantially in the next 20 years due to the aging of the population and age-related increase of the incidence of the disease 12,13. PD is characterized by progressive motor disability that includes bradykinesia, rigidity, resting tremor and gait dysfunction. PD is associated with a spectrum of non-motor symptoms including autonomic, cognitive, mood, sleep dysfunction and sensory abnormalities which are intrinsically related to the widespread PD neuropathological process and can in part precede the onset of motor manifestations 14. The economic burden of PD is estimated to be $23 billion annually in US and projected to increase to $50 billion by year 2040 15. Most of the cost is due to lost productivity and correlates with more advanced stages of the disease signifying the importance of developing treatment strategies that slow progression of accumulating disability 16.</w:t>
      </w:r>
    </w:p>
    <w:p w14:paraId="7AB56D89" w14:textId="77777777" w:rsidR="00662ACC" w:rsidRPr="00273192" w:rsidRDefault="00662ACC" w:rsidP="00662ACC">
      <w:pPr>
        <w:pStyle w:val="NormalWeb"/>
      </w:pPr>
      <w:r w:rsidRPr="00273192">
        <w:t>Treatment options for PD are limited to symptomatic therapy (ST) geared towards replacement of dopamine deficiency 17. Despite a wide armamentarium of effective ST for early PD, management of advanced disease is limited. Availability of an effective disease modifying intervention that will slow the progression of the disease will have a substantial impact on the patients’ quality of life and the economic burden of disease.</w:t>
      </w:r>
    </w:p>
    <w:p w14:paraId="1D3821CC" w14:textId="6C2D0592" w:rsidR="00662ACC" w:rsidRPr="00273192" w:rsidRDefault="00662ACC" w:rsidP="00662ACC">
      <w:pPr>
        <w:pStyle w:val="NormalWeb"/>
      </w:pPr>
      <w:r w:rsidRPr="00273192">
        <w:t>As of today</w:t>
      </w:r>
      <w:r w:rsidR="00273192">
        <w:t>,</w:t>
      </w:r>
      <w:r w:rsidRPr="00273192">
        <w:t xml:space="preserve"> there is no single proven neuroprotective agent in PD 18. Tested agents targeted various potential mechanisms of PD pathogenesis including oxidative stress (rasagiline, selegiline, Vitamin E), mitochondrial dysfunction (Coenzyme Q10, creatine), apoptotic mechanism of cell death (caspase inhibitors) and others 19-27.</w:t>
      </w:r>
    </w:p>
    <w:p w14:paraId="0D7560B6" w14:textId="77777777" w:rsidR="00662ACC" w:rsidRPr="00D302E6" w:rsidRDefault="00662ACC" w:rsidP="00662ACC">
      <w:pPr>
        <w:pStyle w:val="NormalWeb"/>
      </w:pPr>
      <w:r w:rsidRPr="00D302E6">
        <w:t xml:space="preserve">The defining pathological features of PD include the progressive loss of dopaminergic neurons in the substantia nigra-pars compacta and intra-neuronal accumulation of misfolded proteins to form Lewy bodies and Lewy neurites, where α -synuclein is the major component 28,29. Mutations in the gene encoding alpha (α) -synuclein, SNCA, lead to autosomal dominant PD </w:t>
      </w:r>
      <w:r w:rsidRPr="00D302E6">
        <w:lastRenderedPageBreak/>
        <w:t>while polymorphisms constitute risk factors for non-familial PD (reviewed by Mullin and Schapira30). Thus α -synuclein represents a convergent point between genetic etiology and pathology of PD and as such is an attractive target for therapeutic interventions.</w:t>
      </w:r>
    </w:p>
    <w:p w14:paraId="6B0BD22C" w14:textId="77777777" w:rsidR="00662ACC" w:rsidRPr="00D302E6" w:rsidRDefault="00662ACC" w:rsidP="00662ACC">
      <w:pPr>
        <w:pStyle w:val="NormalWeb"/>
      </w:pPr>
      <w:r w:rsidRPr="00D302E6">
        <w:t xml:space="preserve">Recent genetic, biochemical and pharmacological studies indicate that deficits in the cellular pathways involved in autophagy underlie inadequate clearance of misfolded α -synuclein and contribute to PD pathogenesis (reviewed by Brundin et al.; </w:t>
      </w:r>
      <w:proofErr w:type="spellStart"/>
      <w:r w:rsidRPr="00D302E6">
        <w:t>Xilouri</w:t>
      </w:r>
      <w:proofErr w:type="spellEnd"/>
      <w:r w:rsidRPr="00D302E6">
        <w:t xml:space="preserve"> et al.,</w:t>
      </w:r>
      <w:r w:rsidRPr="00D302E6">
        <w:rPr>
          <w:position w:val="10"/>
          <w:sz w:val="16"/>
          <w:szCs w:val="16"/>
        </w:rPr>
        <w:t>31,32</w:t>
      </w:r>
      <w:r w:rsidRPr="00D302E6">
        <w:t>). A class of enzymes termed tyrosine kinases and exemplified by the non-receptor tyrosine kinase Abelson (c-Abl) are known to induce autophagy</w:t>
      </w:r>
      <w:r w:rsidRPr="00D302E6">
        <w:rPr>
          <w:position w:val="10"/>
          <w:sz w:val="16"/>
          <w:szCs w:val="16"/>
        </w:rPr>
        <w:t>33</w:t>
      </w:r>
      <w:r w:rsidRPr="00D302E6">
        <w:t xml:space="preserve">. In fact, inhibitors of c-Abl have emerged as key therapies of certain tumors such as chronic myeloid leukemia (reviewed by Turcotte and </w:t>
      </w:r>
      <w:proofErr w:type="spellStart"/>
      <w:r w:rsidRPr="00D302E6">
        <w:t>Giaccia</w:t>
      </w:r>
      <w:proofErr w:type="spellEnd"/>
      <w:r w:rsidRPr="00D302E6">
        <w:t>, 2010</w:t>
      </w:r>
      <w:r w:rsidRPr="00D302E6">
        <w:rPr>
          <w:position w:val="10"/>
          <w:sz w:val="16"/>
          <w:szCs w:val="16"/>
        </w:rPr>
        <w:t>34</w:t>
      </w:r>
      <w:proofErr w:type="gramStart"/>
      <w:r w:rsidRPr="00D302E6">
        <w:t>) .</w:t>
      </w:r>
      <w:proofErr w:type="gramEnd"/>
      <w:r w:rsidRPr="00D302E6">
        <w:t xml:space="preserve"> </w:t>
      </w:r>
    </w:p>
    <w:p w14:paraId="3F8ADAB2" w14:textId="77777777" w:rsidR="00662ACC" w:rsidRPr="00D302E6" w:rsidRDefault="00662ACC" w:rsidP="00662ACC">
      <w:pPr>
        <w:pStyle w:val="NormalWeb"/>
      </w:pPr>
      <w:r w:rsidRPr="00D302E6">
        <w:t xml:space="preserve">Recent analyses of autopsied tissues from PD patients and animal models of PD show an increase in the level of c-Abl as well as increases in the phosphorylation of its protein substrates, α-synuclein and parkin in dopaminergic neurons1,3,7,35-37. Interestingly, parkin is an E3 ubiquitin ligase, an enzyme critical for proteasome-mediated protein clearance. Like α - synuclein, mutations and polymorphisms in the parkin gene also lead to familial PD and represent risk factors of sporadic PD, respectively38. More importantly, inhibition of c-Abl by nilotinib, a drug used for the treatment of Chronic Myelogenous Leukemia (CML), ameliorated α -synuclein pathology and rescued dopamine neuronal loss in mouse models of PD1,3. Further support for a critical role of c-Abl in inducing α -synuclein-mediated PD pathogenesis was recently provided by </w:t>
      </w:r>
      <w:proofErr w:type="spellStart"/>
      <w:r w:rsidRPr="00D302E6">
        <w:t>Brahmachari</w:t>
      </w:r>
      <w:proofErr w:type="spellEnd"/>
      <w:r w:rsidRPr="00D302E6">
        <w:t xml:space="preserve"> et al. 39. Using mouse genetic </w:t>
      </w:r>
      <w:proofErr w:type="gramStart"/>
      <w:r w:rsidRPr="00D302E6">
        <w:t>models</w:t>
      </w:r>
      <w:proofErr w:type="gramEnd"/>
      <w:r w:rsidRPr="00D302E6">
        <w:t xml:space="preserve"> they demonstrated that deletion of the gene encoding c-Abl reduced α-synuclein aggregation and neurobehavioral deficits whereas overexpression of the constitutively active c-Abl accelerated α-synuclein aggregation, neuropathology, and neurobehavioral deficits. </w:t>
      </w:r>
      <w:proofErr w:type="gramStart"/>
      <w:r w:rsidRPr="00D302E6">
        <w:t>Thus</w:t>
      </w:r>
      <w:proofErr w:type="gramEnd"/>
      <w:r w:rsidRPr="00D302E6">
        <w:t xml:space="preserve"> the first steps towards the development of c-Abl targeted cancer therapies for PD was undertaken and reported by Pagan et al9.</w:t>
      </w:r>
    </w:p>
    <w:p w14:paraId="4CF4AA1E" w14:textId="77777777" w:rsidR="00662ACC" w:rsidRPr="00D302E6" w:rsidRDefault="00662ACC" w:rsidP="00662ACC">
      <w:pPr>
        <w:pStyle w:val="NormalWeb"/>
        <w:numPr>
          <w:ilvl w:val="1"/>
          <w:numId w:val="2"/>
        </w:numPr>
      </w:pPr>
      <w:r w:rsidRPr="00D302E6">
        <w:t>Clinical Experience</w:t>
      </w:r>
    </w:p>
    <w:p w14:paraId="66A03C26" w14:textId="42F923E6" w:rsidR="00662ACC" w:rsidRPr="00D302E6" w:rsidRDefault="00662ACC" w:rsidP="00662ACC">
      <w:pPr>
        <w:pStyle w:val="NormalWeb"/>
      </w:pPr>
      <w:r w:rsidRPr="00D302E6">
        <w:rPr>
          <w:u w:val="single"/>
        </w:rPr>
        <w:t>Nilotinib experience in PD population</w:t>
      </w:r>
      <w:r w:rsidR="008D68BA" w:rsidRPr="00D302E6">
        <w:t>:</w:t>
      </w:r>
      <w:r w:rsidRPr="00D302E6">
        <w:t xml:space="preserve"> To date, the safety and tolerability of nilotinib in PD and Dementia with Lewy Bodies (DLB) population have only been studied in a single small open label clinical study </w:t>
      </w:r>
      <w:r w:rsidRPr="00D302E6">
        <w:rPr>
          <w:position w:val="10"/>
          <w:sz w:val="16"/>
          <w:szCs w:val="16"/>
        </w:rPr>
        <w:t>9</w:t>
      </w:r>
      <w:r w:rsidRPr="00D302E6">
        <w:t xml:space="preserve">. The primary objective of the study was safety and tolerability with the secondary objectives of target engagement and pharmacokinetics (PK) and exploratory clinical outcomes. The study recruited 12 participants with advanced PD, PD dementia (PDD) and Lewy body dementia who were randomized to nilotinib 150mg versus 300mg once daily in an open label fashion and were followed for 6 months. </w:t>
      </w:r>
    </w:p>
    <w:p w14:paraId="2C307731" w14:textId="77777777" w:rsidR="00662ACC" w:rsidRPr="00D302E6" w:rsidRDefault="00662ACC" w:rsidP="00662ACC">
      <w:pPr>
        <w:pStyle w:val="NormalWeb"/>
      </w:pPr>
      <w:r w:rsidRPr="00D302E6">
        <w:t xml:space="preserve">Thirty patients were screened and twelve late stage (Hoehn and Yahr 3-5) PD, PDD or DLB participants were randomized into 150mg (N=5) or 300mg (N=7) groups and received oral daily doses of nilotinib for 24 weeks with 3 months follow up. Eighteen patients failed screening due to cardiovascular disease, infarcts, corrected QT (QTc) interval &gt;450ms or excluded medications (i.e. warfarin). One participant was withdrawn from the study due to serious adverse events (SAEs) and another discontinued at 5 months due to increased caregiver burden. Ten participants </w:t>
      </w:r>
      <w:r w:rsidRPr="00D302E6">
        <w:lastRenderedPageBreak/>
        <w:t xml:space="preserve">completed the 24-week study and returned for a follow up visit (week 36). One participant did not follow up at week 36. </w:t>
      </w:r>
    </w:p>
    <w:p w14:paraId="5A59502A" w14:textId="77777777" w:rsidR="00662ACC" w:rsidRPr="00D302E6" w:rsidRDefault="00662ACC" w:rsidP="00662ACC">
      <w:pPr>
        <w:pStyle w:val="NormalWeb"/>
      </w:pPr>
      <w:r w:rsidRPr="00D302E6">
        <w:t xml:space="preserve">Clinical outcomes included Unified Parkinson’s Disease Rating Scale (UPDRS) and Mini Mental Status Exams (MMSE). Motor symptoms were monitored with UPDRS. The UPDRS scores were obtained at 1-4 hours after dosing with nilotinib. An average decrease of 3.4 points and 3.6 points in UPDRS-III (motor) was observed at six months (week 24) compared to baseline with 150mg and 300mg nilotinib, respectively. These effects were reversed at 36-week follow up visit. An average decrease of 7 points and 11.1 points in UPRDS I-IV was also observed at 6 months in the 150mg and 300mg groups, respectively. The change in UPDRS was progressive throughout the 6 months (24 weeks) </w:t>
      </w:r>
      <w:proofErr w:type="gramStart"/>
      <w:r w:rsidRPr="00D302E6">
        <w:t>trial, and</w:t>
      </w:r>
      <w:proofErr w:type="gramEnd"/>
      <w:r w:rsidRPr="00D302E6">
        <w:t xml:space="preserve"> was reversed in participants in the follow up visit at 36 weeks. Most participants experienced increased psychotic symptoms (hallucination, paranoia, agitation, etc.) and some dyskinesia. </w:t>
      </w:r>
    </w:p>
    <w:p w14:paraId="2F655265" w14:textId="77777777" w:rsidR="00662ACC" w:rsidRPr="00D302E6" w:rsidRDefault="00662ACC" w:rsidP="00662ACC">
      <w:pPr>
        <w:pStyle w:val="NormalWeb"/>
      </w:pPr>
      <w:r w:rsidRPr="00D302E6">
        <w:t xml:space="preserve">Cognitive performance was monitored with MMSE throughout all visits. An average increase of 3.85 and 3.5 points in MMSE was observed at six months (24 weeks) compared to baseline with 150mg and 300mg nilotinib, respectively. The increase in MMSE scores was incremental throughout the 24-week </w:t>
      </w:r>
      <w:proofErr w:type="gramStart"/>
      <w:r w:rsidRPr="00D302E6">
        <w:t>treatment, and</w:t>
      </w:r>
      <w:proofErr w:type="gramEnd"/>
      <w:r w:rsidRPr="00D302E6">
        <w:t xml:space="preserve"> returned to baseline at the 36-week follow up visit. The Scales for Outcomes in Parkinson’s Disease-Cognition (SCOPA-Cog) test also showed an average increase of 1.85 and 2 points at six months compared to baseline with 150mg and 300mg nilotinib, respectively. </w:t>
      </w:r>
    </w:p>
    <w:p w14:paraId="4CB16DC0" w14:textId="7470AC72" w:rsidR="00662ACC" w:rsidRPr="00D302E6" w:rsidRDefault="00662ACC" w:rsidP="00662ACC">
      <w:pPr>
        <w:pStyle w:val="NormalWeb"/>
      </w:pPr>
      <w:r w:rsidRPr="00D302E6">
        <w:t>While the investigators concluded that nilotinib at tested doses was safe and tolerable in PD population, one participant had a serious cardiac event during the study and two others had QT prolongation (both are within the spectrum of the known nilotinib related adverse events and QT prolongation is reflected in the drug black box warning). The authors reported central nervous system penetration of unbound nilotinib, with the Cerebral Spinal Fluid (CSF</w:t>
      </w:r>
      <w:proofErr w:type="gramStart"/>
      <w:r w:rsidRPr="00D302E6">
        <w:t>):plasma</w:t>
      </w:r>
      <w:proofErr w:type="gramEnd"/>
      <w:r w:rsidRPr="00D302E6">
        <w:t xml:space="preserve"> ratio of 12% and 5 % with 300mg and 150mg dose respectively at 2 hours post dose administration and non-detectable CSF levels at 3 hours. </w:t>
      </w:r>
      <w:proofErr w:type="gramStart"/>
      <w:r w:rsidRPr="00D302E6">
        <w:t>With regard to</w:t>
      </w:r>
      <w:proofErr w:type="gramEnd"/>
      <w:r w:rsidRPr="00D302E6">
        <w:t xml:space="preserve"> the secondary outcomes of target engagement, the authors reported reduction of phosphorylated Abl by 30 % with both doses of nilotinib. In addition, the authors reported significant increase in CSF dopamine metabolite, </w:t>
      </w:r>
      <w:proofErr w:type="spellStart"/>
      <w:r w:rsidRPr="00D302E6">
        <w:t>homovanilic</w:t>
      </w:r>
      <w:proofErr w:type="spellEnd"/>
      <w:r w:rsidRPr="00D302E6">
        <w:t xml:space="preserve"> acid (HVA) in both treatment groups and interpreted it as potentially reflection of nilotinib induced up regulation and protection of dopamine neurons. The authors also reported significant symptomatic benefit of nilotinib with improvement of motor disability and cognitive performance both of which subsided 3 months after discontinuation of treatment. Although the preliminary data appear promising, the study design precludes firm conclusions about safety, tolerability, optimal dose or efficacy. In addition, the data on the PK profile and target engagement </w:t>
      </w:r>
      <w:proofErr w:type="gramStart"/>
      <w:r w:rsidRPr="00D302E6">
        <w:t>have to</w:t>
      </w:r>
      <w:proofErr w:type="gramEnd"/>
      <w:r w:rsidRPr="00D302E6">
        <w:t xml:space="preserve"> be validated and replicated</w:t>
      </w:r>
      <w:r w:rsidRPr="00D302E6">
        <w:rPr>
          <w:position w:val="10"/>
          <w:sz w:val="16"/>
          <w:szCs w:val="16"/>
        </w:rPr>
        <w:t>10</w:t>
      </w:r>
      <w:r w:rsidRPr="00D302E6">
        <w:t xml:space="preserve">. Nilotinib is approved by the Food and Drug Administration (FDA) for certain types of leukemia but not PD. </w:t>
      </w:r>
    </w:p>
    <w:p w14:paraId="319AA863" w14:textId="10CF6592" w:rsidR="00662ACC" w:rsidRPr="00D302E6" w:rsidRDefault="00662ACC" w:rsidP="00662ACC">
      <w:pPr>
        <w:pStyle w:val="NormalWeb"/>
      </w:pPr>
      <w:r w:rsidRPr="00D302E6">
        <w:rPr>
          <w:u w:val="single"/>
        </w:rPr>
        <w:t>Rationale for dosage</w:t>
      </w:r>
      <w:r w:rsidR="008D68BA" w:rsidRPr="00D302E6">
        <w:t xml:space="preserve">: </w:t>
      </w:r>
      <w:r w:rsidRPr="00D302E6">
        <w:t>We have chosen to target the lowest dosing range for this study based on the concerns regarding the safety profile of the tested agent and preliminary data from Pagan et al</w:t>
      </w:r>
      <w:r w:rsidRPr="00D302E6">
        <w:rPr>
          <w:position w:val="10"/>
          <w:sz w:val="16"/>
          <w:szCs w:val="16"/>
        </w:rPr>
        <w:t xml:space="preserve">9 </w:t>
      </w:r>
      <w:r w:rsidRPr="00D302E6">
        <w:t xml:space="preserve">demonstrating CNS penetration at these doses which would require confirmation in the current study. </w:t>
      </w:r>
    </w:p>
    <w:p w14:paraId="1334BFC4" w14:textId="77777777" w:rsidR="00662ACC" w:rsidRPr="00D302E6" w:rsidRDefault="00662ACC" w:rsidP="00662ACC">
      <w:pPr>
        <w:rPr>
          <w:rFonts w:ascii="Times New Roman" w:hAnsi="Times New Roman" w:cs="Times New Roman"/>
        </w:rPr>
      </w:pPr>
    </w:p>
    <w:p w14:paraId="3CE798A3" w14:textId="1F44F36B" w:rsidR="00662ACC" w:rsidRPr="00D302E6" w:rsidRDefault="00662ACC">
      <w:pPr>
        <w:spacing w:after="160" w:line="278" w:lineRule="auto"/>
        <w:rPr>
          <w:rFonts w:ascii="Times New Roman" w:hAnsi="Times New Roman" w:cs="Times New Roman"/>
        </w:rPr>
      </w:pPr>
    </w:p>
    <w:p w14:paraId="32B10A99" w14:textId="77777777" w:rsidR="00662ACC" w:rsidRPr="00D302E6" w:rsidRDefault="00662ACC" w:rsidP="00662ACC">
      <w:pPr>
        <w:rPr>
          <w:rFonts w:ascii="Times New Roman" w:hAnsi="Times New Roman" w:cs="Times New Roman"/>
        </w:rPr>
      </w:pPr>
    </w:p>
    <w:p w14:paraId="4487F314" w14:textId="77777777" w:rsidR="00662ACC" w:rsidRPr="00D302E6" w:rsidRDefault="00662ACC" w:rsidP="00662ACC">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F5346" w:rsidRPr="00D302E6" w14:paraId="2DD13DC3" w14:textId="77777777" w:rsidTr="00DB01CF">
        <w:tc>
          <w:tcPr>
            <w:tcW w:w="9350" w:type="dxa"/>
            <w:gridSpan w:val="2"/>
            <w:shd w:val="clear" w:color="auto" w:fill="ADADAD" w:themeFill="background2" w:themeFillShade="BF"/>
          </w:tcPr>
          <w:p w14:paraId="338FC6FA" w14:textId="77777777" w:rsidR="00EF5346" w:rsidRPr="00D302E6" w:rsidRDefault="00EF5346" w:rsidP="00DB01CF">
            <w:pPr>
              <w:rPr>
                <w:rFonts w:ascii="Times New Roman" w:hAnsi="Times New Roman" w:cs="Times New Roman"/>
                <w:b/>
                <w:bCs/>
                <w:sz w:val="36"/>
                <w:szCs w:val="36"/>
              </w:rPr>
            </w:pPr>
            <w:r w:rsidRPr="00D302E6">
              <w:rPr>
                <w:rFonts w:ascii="Times New Roman" w:hAnsi="Times New Roman" w:cs="Times New Roman"/>
                <w:b/>
                <w:bCs/>
                <w:sz w:val="36"/>
                <w:szCs w:val="36"/>
              </w:rPr>
              <w:t>Evidence of Molecular Effect</w:t>
            </w:r>
          </w:p>
        </w:tc>
      </w:tr>
      <w:tr w:rsidR="00EF5346" w:rsidRPr="00D302E6" w14:paraId="2C2B8DE1" w14:textId="77777777" w:rsidTr="00DB01CF">
        <w:tc>
          <w:tcPr>
            <w:tcW w:w="9350" w:type="dxa"/>
            <w:gridSpan w:val="2"/>
            <w:shd w:val="clear" w:color="auto" w:fill="C1F0C7" w:themeFill="accent3" w:themeFillTint="33"/>
          </w:tcPr>
          <w:p w14:paraId="4F3B2C9E" w14:textId="0D25BDCD"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1. How strong is the evidence that the intervention engages its molecular target in humans with the target disease?</w:t>
            </w:r>
          </w:p>
        </w:tc>
      </w:tr>
      <w:tr w:rsidR="00EF5346" w:rsidRPr="00D302E6" w14:paraId="6CB4693A" w14:textId="77777777" w:rsidTr="00DB01CF">
        <w:tc>
          <w:tcPr>
            <w:tcW w:w="9350" w:type="dxa"/>
            <w:gridSpan w:val="2"/>
            <w:shd w:val="clear" w:color="auto" w:fill="C1F0C7" w:themeFill="accent3" w:themeFillTint="33"/>
          </w:tcPr>
          <w:p w14:paraId="4093446A" w14:textId="20AE0C71" w:rsidR="00EF5346" w:rsidRPr="00D302E6" w:rsidRDefault="00F90CEE" w:rsidP="00DB01CF">
            <w:pPr>
              <w:rPr>
                <w:rFonts w:ascii="Times New Roman" w:hAnsi="Times New Roman" w:cs="Times New Roman"/>
                <w:b/>
                <w:bCs/>
              </w:rPr>
            </w:pPr>
            <w:r w:rsidRPr="00D302E6">
              <w:rPr>
                <w:rFonts w:ascii="Times New Roman" w:hAnsi="Times New Roman" w:cs="Times New Roman"/>
              </w:rPr>
              <w:t>“[In a single, open label clinical study involving 12 patients] the authors reported central nervous system penetration of unbound nilotinib, with the Cerebral Spinal Fluid (CSF):</w:t>
            </w:r>
            <w:r w:rsidR="00D302E6" w:rsidRPr="00D302E6">
              <w:rPr>
                <w:rFonts w:ascii="Times New Roman" w:hAnsi="Times New Roman" w:cs="Times New Roman"/>
              </w:rPr>
              <w:t xml:space="preserve"> </w:t>
            </w:r>
            <w:r w:rsidRPr="00D302E6">
              <w:rPr>
                <w:rFonts w:ascii="Times New Roman" w:hAnsi="Times New Roman" w:cs="Times New Roman"/>
              </w:rPr>
              <w:t xml:space="preserve">plasma ratio of 12% and 5 % with 300mg and 150mg dose respectively at 2 hours post dose administration and non-detectable CSF levels at 3 hours. </w:t>
            </w:r>
            <w:proofErr w:type="gramStart"/>
            <w:r w:rsidR="00380661" w:rsidRPr="00D302E6">
              <w:rPr>
                <w:rFonts w:ascii="Times New Roman" w:hAnsi="Times New Roman" w:cs="Times New Roman"/>
              </w:rPr>
              <w:t>With regard to</w:t>
            </w:r>
            <w:proofErr w:type="gramEnd"/>
            <w:r w:rsidR="00380661" w:rsidRPr="00D302E6">
              <w:rPr>
                <w:rFonts w:ascii="Times New Roman" w:hAnsi="Times New Roman" w:cs="Times New Roman"/>
              </w:rPr>
              <w:t xml:space="preserve"> the secondary outcomes of target engagement, the authors reported reduction of phosphorylated Abl by 30 % with both doses of nilotinib.</w:t>
            </w:r>
            <w:r w:rsidRPr="00D302E6">
              <w:rPr>
                <w:rFonts w:ascii="Times New Roman" w:hAnsi="Times New Roman" w:cs="Times New Roman"/>
              </w:rPr>
              <w:t>”</w:t>
            </w:r>
          </w:p>
        </w:tc>
      </w:tr>
      <w:tr w:rsidR="00EF5346" w:rsidRPr="00D302E6" w14:paraId="6D33AF7D" w14:textId="77777777" w:rsidTr="00DB01CF">
        <w:tc>
          <w:tcPr>
            <w:tcW w:w="4675" w:type="dxa"/>
          </w:tcPr>
          <w:p w14:paraId="1DEEBA78" w14:textId="4AD8C798" w:rsidR="00EF5346" w:rsidRPr="00D302E6" w:rsidRDefault="00EF5346" w:rsidP="00DB01CF">
            <w:pPr>
              <w:rPr>
                <w:rFonts w:ascii="Times New Roman" w:hAnsi="Times New Roman" w:cs="Times New Roman"/>
              </w:rPr>
            </w:pPr>
            <w:r w:rsidRPr="00D302E6">
              <w:rPr>
                <w:rFonts w:ascii="Times New Roman" w:hAnsi="Times New Roman" w:cs="Times New Roman"/>
              </w:rPr>
              <w:br/>
            </w:r>
          </w:p>
          <w:p w14:paraId="0F345D32" w14:textId="5A10C244" w:rsidR="00EF5346" w:rsidRPr="00D302E6" w:rsidRDefault="00105194" w:rsidP="00473064">
            <w:pPr>
              <w:pStyle w:val="ListParagraph"/>
              <w:rPr>
                <w:rFonts w:ascii="Times New Roman" w:hAnsi="Times New Roman" w:cs="Times New Roman"/>
              </w:rPr>
            </w:pPr>
            <w:r w:rsidRPr="00D302E6">
              <w:rPr>
                <w:rFonts w:ascii="Times New Roman" w:hAnsi="Times New Roman" w:cs="Times New Roman"/>
                <w:color w:val="000000" w:themeColor="text1"/>
                <w:shd w:val="clear" w:color="auto" w:fill="F1A983" w:themeFill="accent2" w:themeFillTint="99"/>
              </w:rPr>
              <w:t>MODERATE</w:t>
            </w:r>
            <w:r w:rsidR="00EF5346" w:rsidRPr="00D302E6">
              <w:rPr>
                <w:rFonts w:ascii="Times New Roman" w:hAnsi="Times New Roman" w:cs="Times New Roman"/>
              </w:rPr>
              <w:br/>
            </w:r>
          </w:p>
        </w:tc>
        <w:tc>
          <w:tcPr>
            <w:tcW w:w="4675" w:type="dxa"/>
          </w:tcPr>
          <w:p w14:paraId="13AD597C"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05846AA8" w14:textId="77777777" w:rsidR="00F90CEE" w:rsidRPr="00D302E6" w:rsidRDefault="00F90CEE" w:rsidP="00DB01CF">
            <w:pPr>
              <w:rPr>
                <w:rFonts w:ascii="Times New Roman" w:hAnsi="Times New Roman" w:cs="Times New Roman"/>
              </w:rPr>
            </w:pPr>
            <w:r w:rsidRPr="00D302E6">
              <w:rPr>
                <w:rFonts w:ascii="Times New Roman" w:hAnsi="Times New Roman" w:cs="Times New Roman"/>
              </w:rPr>
              <w:t>• Sample size is small, and one wonders about precision of estimates.</w:t>
            </w:r>
          </w:p>
          <w:p w14:paraId="37AFF427" w14:textId="227EBB1A" w:rsidR="00E04ABF" w:rsidRPr="00D302E6" w:rsidRDefault="00E04ABF" w:rsidP="00DB01CF">
            <w:pPr>
              <w:rPr>
                <w:rFonts w:ascii="Times New Roman" w:hAnsi="Times New Roman" w:cs="Times New Roman"/>
              </w:rPr>
            </w:pPr>
            <w:r w:rsidRPr="00D302E6">
              <w:rPr>
                <w:rFonts w:ascii="Times New Roman" w:hAnsi="Times New Roman" w:cs="Times New Roman"/>
              </w:rPr>
              <w:t>•  Protocol reports transient detection of “unbound” nilotinib in the CSF. But there is no information to help assess whether this magnitude and duration are sufficient.</w:t>
            </w:r>
            <w:r w:rsidR="008D68BA" w:rsidRPr="00D302E6">
              <w:rPr>
                <w:rFonts w:ascii="Times New Roman" w:hAnsi="Times New Roman" w:cs="Times New Roman"/>
              </w:rPr>
              <w:t xml:space="preserve"> And elsewhere </w:t>
            </w:r>
            <w:r w:rsidR="00D302E6">
              <w:rPr>
                <w:rFonts w:ascii="Times New Roman" w:hAnsi="Times New Roman" w:cs="Times New Roman"/>
              </w:rPr>
              <w:t>these</w:t>
            </w:r>
            <w:r w:rsidR="008D68BA" w:rsidRPr="00D302E6">
              <w:rPr>
                <w:rFonts w:ascii="Times New Roman" w:hAnsi="Times New Roman" w:cs="Times New Roman"/>
              </w:rPr>
              <w:t xml:space="preserve"> data </w:t>
            </w:r>
            <w:r w:rsidR="00D302E6">
              <w:rPr>
                <w:rFonts w:ascii="Times New Roman" w:hAnsi="Times New Roman" w:cs="Times New Roman"/>
              </w:rPr>
              <w:t>are</w:t>
            </w:r>
            <w:r w:rsidR="008D68BA" w:rsidRPr="00D302E6">
              <w:rPr>
                <w:rFonts w:ascii="Times New Roman" w:hAnsi="Times New Roman" w:cs="Times New Roman"/>
              </w:rPr>
              <w:t xml:space="preserve"> described as “preliminary.”</w:t>
            </w:r>
          </w:p>
          <w:p w14:paraId="0703B60D" w14:textId="77777777" w:rsidR="00F90CEE" w:rsidRPr="00D302E6" w:rsidRDefault="00F90CEE" w:rsidP="00DB01CF">
            <w:pPr>
              <w:rPr>
                <w:rFonts w:ascii="Times New Roman" w:hAnsi="Times New Roman" w:cs="Times New Roman"/>
              </w:rPr>
            </w:pPr>
            <w:r w:rsidRPr="00D302E6">
              <w:rPr>
                <w:rFonts w:ascii="Times New Roman" w:hAnsi="Times New Roman" w:cs="Times New Roman"/>
              </w:rPr>
              <w:t>• One wonders why there is no dose effect for target engagement.</w:t>
            </w:r>
          </w:p>
          <w:p w14:paraId="66E7FF22" w14:textId="37AA8828" w:rsidR="00873C2A" w:rsidRPr="00D302E6" w:rsidRDefault="00873C2A" w:rsidP="00DB01CF">
            <w:pPr>
              <w:rPr>
                <w:rFonts w:ascii="Times New Roman" w:hAnsi="Times New Roman" w:cs="Times New Roman"/>
              </w:rPr>
            </w:pPr>
            <w:r w:rsidRPr="00D302E6">
              <w:rPr>
                <w:rFonts w:ascii="Times New Roman" w:hAnsi="Times New Roman" w:cs="Times New Roman"/>
              </w:rPr>
              <w:t>• Oddly, the publication cited to support this claim stipulates 20-21 patients per group, not 12 total.</w:t>
            </w:r>
          </w:p>
        </w:tc>
      </w:tr>
      <w:tr w:rsidR="00EF5346" w:rsidRPr="00D302E6" w14:paraId="1F940D0C" w14:textId="77777777" w:rsidTr="00DB01CF">
        <w:tc>
          <w:tcPr>
            <w:tcW w:w="9350" w:type="dxa"/>
            <w:gridSpan w:val="2"/>
            <w:shd w:val="clear" w:color="auto" w:fill="F2CEED" w:themeFill="accent5" w:themeFillTint="33"/>
          </w:tcPr>
          <w:p w14:paraId="72E03D14" w14:textId="5D818CAE"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2. How strong is the evidence that the intervention engages its molecular target in model systems, i.e., either in humans with a different disease or another experimental system (e.g., in vitro, or animal models)?</w:t>
            </w:r>
          </w:p>
        </w:tc>
      </w:tr>
      <w:tr w:rsidR="00EF5346" w:rsidRPr="00D302E6" w14:paraId="798511F1" w14:textId="77777777" w:rsidTr="00DB01CF">
        <w:tc>
          <w:tcPr>
            <w:tcW w:w="9350" w:type="dxa"/>
            <w:gridSpan w:val="2"/>
            <w:shd w:val="clear" w:color="auto" w:fill="F2CEED" w:themeFill="accent5" w:themeFillTint="33"/>
          </w:tcPr>
          <w:p w14:paraId="09B82C38" w14:textId="1D65586C" w:rsidR="00EF5346" w:rsidRPr="00D302E6" w:rsidRDefault="00F90CEE" w:rsidP="00DB01CF">
            <w:pPr>
              <w:rPr>
                <w:rFonts w:ascii="Times New Roman" w:hAnsi="Times New Roman" w:cs="Times New Roman"/>
                <w:b/>
                <w:bCs/>
              </w:rPr>
            </w:pPr>
            <w:r w:rsidRPr="00D302E6">
              <w:rPr>
                <w:rFonts w:ascii="Times New Roman" w:hAnsi="Times New Roman" w:cs="Times New Roman"/>
              </w:rPr>
              <w:t>c-Abl have emerged as key therapies of certain tumors such as chronic myeloid leukemia</w:t>
            </w:r>
          </w:p>
        </w:tc>
      </w:tr>
      <w:tr w:rsidR="00EF5346" w:rsidRPr="00D302E6" w14:paraId="48400D8C" w14:textId="77777777" w:rsidTr="00DB01CF">
        <w:tc>
          <w:tcPr>
            <w:tcW w:w="4675" w:type="dxa"/>
          </w:tcPr>
          <w:p w14:paraId="0DC544AD" w14:textId="796DEC94" w:rsidR="00EF5346" w:rsidRPr="00D302E6" w:rsidRDefault="00EF5346" w:rsidP="00DB01CF">
            <w:pPr>
              <w:rPr>
                <w:rFonts w:ascii="Times New Roman" w:hAnsi="Times New Roman" w:cs="Times New Roman"/>
              </w:rPr>
            </w:pPr>
            <w:r w:rsidRPr="00D302E6">
              <w:rPr>
                <w:rFonts w:ascii="Times New Roman" w:hAnsi="Times New Roman" w:cs="Times New Roman"/>
              </w:rPr>
              <w:br/>
            </w:r>
          </w:p>
          <w:p w14:paraId="63E866FB" w14:textId="3AC416EC" w:rsidR="00EF5346" w:rsidRPr="00D302E6" w:rsidRDefault="00105194" w:rsidP="00105194">
            <w:pPr>
              <w:pStyle w:val="ListParagraph"/>
              <w:rPr>
                <w:rFonts w:ascii="Times New Roman" w:hAnsi="Times New Roman" w:cs="Times New Roman"/>
              </w:rPr>
            </w:pPr>
            <w:r w:rsidRPr="00D302E6">
              <w:rPr>
                <w:rFonts w:ascii="Times New Roman" w:hAnsi="Times New Roman" w:cs="Times New Roman"/>
                <w:shd w:val="clear" w:color="auto" w:fill="47D459" w:themeFill="accent3" w:themeFillTint="99"/>
              </w:rPr>
              <w:t>STRONG</w:t>
            </w:r>
          </w:p>
          <w:p w14:paraId="653ABBB5" w14:textId="4DFEDA82" w:rsidR="00EF5346" w:rsidRPr="00D302E6" w:rsidRDefault="00EF5346" w:rsidP="00473064">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7679794C"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19400658" w14:textId="0AED90F8" w:rsidR="00F90CEE" w:rsidRPr="00D302E6" w:rsidRDefault="00F90CEE" w:rsidP="00DB01CF">
            <w:pPr>
              <w:rPr>
                <w:rFonts w:ascii="Times New Roman" w:hAnsi="Times New Roman" w:cs="Times New Roman"/>
              </w:rPr>
            </w:pPr>
            <w:r w:rsidRPr="00D302E6">
              <w:rPr>
                <w:rFonts w:ascii="Times New Roman" w:hAnsi="Times New Roman" w:cs="Times New Roman"/>
              </w:rPr>
              <w:t>• The target is c-Abl. That nilotinib was designed to target c-Abl, and that it is effective in chronic myelogenous leukemia, is strong evidence of target engagement in a model system</w:t>
            </w:r>
          </w:p>
        </w:tc>
      </w:tr>
      <w:tr w:rsidR="00EF5346" w:rsidRPr="00D302E6" w14:paraId="34C3E711" w14:textId="77777777" w:rsidTr="00DB01CF">
        <w:tc>
          <w:tcPr>
            <w:tcW w:w="9350" w:type="dxa"/>
            <w:gridSpan w:val="2"/>
            <w:shd w:val="clear" w:color="auto" w:fill="C1E4F5" w:themeFill="accent1" w:themeFillTint="33"/>
          </w:tcPr>
          <w:p w14:paraId="5C549ACF"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3. Considering the totality of model evidence provided, how strong are the grounds for believing model system evidence predicts target engagement in the humans with the target diseases?</w:t>
            </w:r>
          </w:p>
        </w:tc>
      </w:tr>
      <w:tr w:rsidR="00EF5346" w:rsidRPr="00D302E6" w14:paraId="08E7B982" w14:textId="77777777" w:rsidTr="00DB01CF">
        <w:tc>
          <w:tcPr>
            <w:tcW w:w="9350" w:type="dxa"/>
            <w:gridSpan w:val="2"/>
            <w:shd w:val="clear" w:color="auto" w:fill="C1E4F5" w:themeFill="accent1" w:themeFillTint="33"/>
          </w:tcPr>
          <w:p w14:paraId="11A48381" w14:textId="77777777" w:rsidR="00B02656" w:rsidRPr="00D302E6" w:rsidRDefault="00B02656" w:rsidP="00DB01CF">
            <w:pPr>
              <w:rPr>
                <w:rFonts w:ascii="Times New Roman" w:hAnsi="Times New Roman" w:cs="Times New Roman"/>
              </w:rPr>
            </w:pPr>
            <w:r w:rsidRPr="00D302E6">
              <w:rPr>
                <w:rFonts w:ascii="Times New Roman" w:hAnsi="Times New Roman" w:cs="Times New Roman"/>
                <w:u w:val="single"/>
              </w:rPr>
              <w:t>TEXT FROM PROTOCOL</w:t>
            </w:r>
            <w:r w:rsidRPr="00D302E6">
              <w:rPr>
                <w:rFonts w:ascii="Times New Roman" w:hAnsi="Times New Roman" w:cs="Times New Roman"/>
              </w:rPr>
              <w:t xml:space="preserve">: </w:t>
            </w:r>
          </w:p>
          <w:p w14:paraId="41F1483C" w14:textId="3A3C5338" w:rsidR="00B02656" w:rsidRPr="00D302E6" w:rsidRDefault="00B02656" w:rsidP="00DB01CF">
            <w:pPr>
              <w:rPr>
                <w:rFonts w:ascii="Times New Roman" w:hAnsi="Times New Roman" w:cs="Times New Roman"/>
              </w:rPr>
            </w:pPr>
            <w:r w:rsidRPr="00D302E6">
              <w:rPr>
                <w:rFonts w:ascii="Times New Roman" w:hAnsi="Times New Roman" w:cs="Times New Roman"/>
              </w:rPr>
              <w:lastRenderedPageBreak/>
              <w:t>Mutations in the gene encoding alpha (α) -synuclein, SNCA, lead to autosomal dominant PD while polymorphisms constitute risk factors for non-familial PD (reviewed by Mullin and Schapira30)</w:t>
            </w:r>
          </w:p>
          <w:p w14:paraId="71508CF4" w14:textId="77777777" w:rsidR="00B02656" w:rsidRPr="00D302E6" w:rsidRDefault="00B02656" w:rsidP="00DB01CF">
            <w:pPr>
              <w:rPr>
                <w:rFonts w:ascii="Times New Roman" w:hAnsi="Times New Roman" w:cs="Times New Roman"/>
              </w:rPr>
            </w:pPr>
          </w:p>
          <w:p w14:paraId="54028C87" w14:textId="6F559991" w:rsidR="00EF5346" w:rsidRPr="00D302E6" w:rsidRDefault="00B02656" w:rsidP="00DB01CF">
            <w:pPr>
              <w:rPr>
                <w:rFonts w:ascii="Times New Roman" w:hAnsi="Times New Roman" w:cs="Times New Roman"/>
                <w:position w:val="10"/>
                <w:sz w:val="16"/>
                <w:szCs w:val="16"/>
              </w:rPr>
            </w:pPr>
            <w:r w:rsidRPr="00D302E6">
              <w:rPr>
                <w:rFonts w:ascii="Times New Roman" w:hAnsi="Times New Roman" w:cs="Times New Roman"/>
              </w:rPr>
              <w:t xml:space="preserve">Recent genetic, biochemical and pharmacological studies indicate that deficits in the cellular pathways involved in autophagy underlie inadequate clearance of misfolded α -synuclein and contribute to PD pathogenesis (reviewed by Brundin et al.; </w:t>
            </w:r>
            <w:proofErr w:type="spellStart"/>
            <w:r w:rsidRPr="00D302E6">
              <w:rPr>
                <w:rFonts w:ascii="Times New Roman" w:hAnsi="Times New Roman" w:cs="Times New Roman"/>
              </w:rPr>
              <w:t>Xilouri</w:t>
            </w:r>
            <w:proofErr w:type="spellEnd"/>
            <w:r w:rsidRPr="00D302E6">
              <w:rPr>
                <w:rFonts w:ascii="Times New Roman" w:hAnsi="Times New Roman" w:cs="Times New Roman"/>
              </w:rPr>
              <w:t xml:space="preserve"> et al.,</w:t>
            </w:r>
            <w:r w:rsidRPr="00D302E6">
              <w:rPr>
                <w:rFonts w:ascii="Times New Roman" w:hAnsi="Times New Roman" w:cs="Times New Roman"/>
                <w:position w:val="10"/>
                <w:sz w:val="16"/>
                <w:szCs w:val="16"/>
              </w:rPr>
              <w:t>31,32</w:t>
            </w:r>
            <w:r w:rsidRPr="00D302E6">
              <w:rPr>
                <w:rFonts w:ascii="Times New Roman" w:hAnsi="Times New Roman" w:cs="Times New Roman"/>
              </w:rPr>
              <w:t>). A class of enzymes termed tyrosine kinases and exemplified by the non-receptor tyrosine kinase Abelson (c-Abl) are known to induce autophagy.</w:t>
            </w:r>
            <w:r w:rsidRPr="00D302E6">
              <w:rPr>
                <w:rFonts w:ascii="Times New Roman" w:hAnsi="Times New Roman" w:cs="Times New Roman"/>
                <w:position w:val="10"/>
                <w:sz w:val="16"/>
                <w:szCs w:val="16"/>
              </w:rPr>
              <w:t>33</w:t>
            </w:r>
          </w:p>
          <w:p w14:paraId="2CE2849E" w14:textId="77777777" w:rsidR="00B02656" w:rsidRPr="00D302E6" w:rsidRDefault="00B02656" w:rsidP="00DB01CF">
            <w:pPr>
              <w:rPr>
                <w:rFonts w:ascii="Times New Roman" w:hAnsi="Times New Roman" w:cs="Times New Roman"/>
                <w:b/>
                <w:bCs/>
                <w:position w:val="10"/>
                <w:sz w:val="16"/>
                <w:szCs w:val="16"/>
              </w:rPr>
            </w:pPr>
          </w:p>
          <w:p w14:paraId="69430A34" w14:textId="77777777" w:rsidR="00B02656" w:rsidRPr="00D302E6" w:rsidRDefault="00B02656" w:rsidP="00DB01CF">
            <w:pPr>
              <w:rPr>
                <w:rFonts w:ascii="Times New Roman" w:hAnsi="Times New Roman" w:cs="Times New Roman"/>
              </w:rPr>
            </w:pPr>
            <w:r w:rsidRPr="00D302E6">
              <w:rPr>
                <w:rFonts w:ascii="Times New Roman" w:hAnsi="Times New Roman" w:cs="Times New Roman"/>
              </w:rPr>
              <w:t>Recent analyses of autopsied tissues from PD patients and animal models of PD show an increase in the level of c-Abl as well as increases in the phosphorylation of its protein substrates, α-synuclein and parkin in dopaminergic neurons1,3,7,35-37. Interestingly, parkin is an E3 ubiquitin ligase, an enzyme critical for proteasome-mediated protein clearance. Like α - synuclein, mutations and polymorphisms in the parkin gene also lead to familial PD and represent risk factors of sporadic PD, respectively38</w:t>
            </w:r>
          </w:p>
          <w:p w14:paraId="1D07F9F8" w14:textId="77777777" w:rsidR="00662ACC" w:rsidRPr="00D302E6" w:rsidRDefault="00662ACC" w:rsidP="00DB01CF">
            <w:pPr>
              <w:rPr>
                <w:rFonts w:ascii="Times New Roman" w:hAnsi="Times New Roman" w:cs="Times New Roman"/>
                <w:b/>
                <w:bCs/>
              </w:rPr>
            </w:pPr>
          </w:p>
          <w:p w14:paraId="1DC0CF91" w14:textId="72DCA67D" w:rsidR="00662ACC" w:rsidRPr="00D302E6" w:rsidRDefault="00662ACC" w:rsidP="00DB01CF">
            <w:pPr>
              <w:rPr>
                <w:rFonts w:ascii="Times New Roman" w:hAnsi="Times New Roman" w:cs="Times New Roman"/>
                <w:b/>
                <w:bCs/>
              </w:rPr>
            </w:pPr>
            <w:r w:rsidRPr="00D302E6">
              <w:rPr>
                <w:rFonts w:ascii="Times New Roman" w:hAnsi="Times New Roman" w:cs="Times New Roman"/>
              </w:rPr>
              <w:t>[In a small trial,] the authors reported central nervous system penetration of unbound nilotinib, with the Cerebral Spinal Fluid (CSF):</w:t>
            </w:r>
            <w:r w:rsidR="00D302E6">
              <w:rPr>
                <w:rFonts w:ascii="Times New Roman" w:hAnsi="Times New Roman" w:cs="Times New Roman"/>
              </w:rPr>
              <w:t xml:space="preserve"> </w:t>
            </w:r>
            <w:r w:rsidRPr="00D302E6">
              <w:rPr>
                <w:rFonts w:ascii="Times New Roman" w:hAnsi="Times New Roman" w:cs="Times New Roman"/>
              </w:rPr>
              <w:t xml:space="preserve">plasma ratio of 12% and 5 % with 300mg and 150mg dose respectively at 2 hours post dose administration and non-detectable CSF levels at 3 hours. </w:t>
            </w:r>
            <w:proofErr w:type="gramStart"/>
            <w:r w:rsidRPr="00D302E6">
              <w:rPr>
                <w:rFonts w:ascii="Times New Roman" w:hAnsi="Times New Roman" w:cs="Times New Roman"/>
              </w:rPr>
              <w:t>With regard to</w:t>
            </w:r>
            <w:proofErr w:type="gramEnd"/>
            <w:r w:rsidRPr="00D302E6">
              <w:rPr>
                <w:rFonts w:ascii="Times New Roman" w:hAnsi="Times New Roman" w:cs="Times New Roman"/>
              </w:rPr>
              <w:t xml:space="preserve"> the secondary outcomes of target engagement, the authors reported reduction of phosphorylated Abl by 30 % with both doses of nilotinib.” </w:t>
            </w:r>
          </w:p>
        </w:tc>
      </w:tr>
      <w:tr w:rsidR="00EF5346" w:rsidRPr="00D302E6" w14:paraId="6E83009E" w14:textId="77777777" w:rsidTr="00DB01CF">
        <w:tc>
          <w:tcPr>
            <w:tcW w:w="4675" w:type="dxa"/>
          </w:tcPr>
          <w:p w14:paraId="751584CE" w14:textId="77777777" w:rsidR="00105194" w:rsidRPr="00D302E6" w:rsidRDefault="00105194" w:rsidP="00105194">
            <w:pPr>
              <w:pStyle w:val="ListParagraph"/>
              <w:rPr>
                <w:rFonts w:ascii="Times New Roman" w:hAnsi="Times New Roman" w:cs="Times New Roman"/>
              </w:rPr>
            </w:pPr>
          </w:p>
          <w:p w14:paraId="30445459" w14:textId="713466DA" w:rsidR="00EF5346" w:rsidRPr="00D302E6" w:rsidRDefault="00105194" w:rsidP="00105194">
            <w:pPr>
              <w:pStyle w:val="ListParagraph"/>
              <w:rPr>
                <w:rFonts w:ascii="Times New Roman" w:hAnsi="Times New Roman" w:cs="Times New Roman"/>
              </w:rPr>
            </w:pPr>
            <w:r w:rsidRPr="00D302E6">
              <w:rPr>
                <w:rFonts w:ascii="Times New Roman" w:hAnsi="Times New Roman" w:cs="Times New Roman"/>
                <w:shd w:val="clear" w:color="auto" w:fill="C00000"/>
              </w:rPr>
              <w:t>WEAK</w:t>
            </w:r>
          </w:p>
          <w:p w14:paraId="4864A9C1" w14:textId="4719B662" w:rsidR="00EF5346" w:rsidRPr="00D302E6" w:rsidRDefault="00EF5346" w:rsidP="00A7490E">
            <w:pPr>
              <w:pStyle w:val="ListParagraph"/>
              <w:rPr>
                <w:rFonts w:ascii="Times New Roman" w:hAnsi="Times New Roman" w:cs="Times New Roman"/>
              </w:rPr>
            </w:pPr>
            <w:r w:rsidRPr="00D302E6">
              <w:rPr>
                <w:rFonts w:ascii="Times New Roman" w:hAnsi="Times New Roman" w:cs="Times New Roman"/>
              </w:rPr>
              <w:br/>
            </w:r>
          </w:p>
        </w:tc>
        <w:tc>
          <w:tcPr>
            <w:tcW w:w="4675" w:type="dxa"/>
          </w:tcPr>
          <w:p w14:paraId="48DEA2FD"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5C6E8456" w14:textId="1EB3CA52" w:rsidR="00662ACC" w:rsidRPr="00D302E6" w:rsidRDefault="00F90CEE" w:rsidP="00DB01CF">
            <w:pPr>
              <w:rPr>
                <w:rFonts w:ascii="Times New Roman" w:hAnsi="Times New Roman" w:cs="Times New Roman"/>
              </w:rPr>
            </w:pPr>
            <w:r w:rsidRPr="00D302E6">
              <w:rPr>
                <w:rFonts w:ascii="Times New Roman" w:hAnsi="Times New Roman" w:cs="Times New Roman"/>
              </w:rPr>
              <w:t xml:space="preserve">• </w:t>
            </w:r>
            <w:r w:rsidR="00662ACC" w:rsidRPr="00D302E6">
              <w:rPr>
                <w:rFonts w:ascii="Times New Roman" w:hAnsi="Times New Roman" w:cs="Times New Roman"/>
              </w:rPr>
              <w:t>On the one hand, there is strong evidence that alpha synuclein accumulation drives progression of disease. However,</w:t>
            </w:r>
          </w:p>
          <w:p w14:paraId="4D18619B" w14:textId="2AC15EFD" w:rsidR="00F90CEE" w:rsidRPr="00D302E6" w:rsidRDefault="00662ACC" w:rsidP="00DB01CF">
            <w:pPr>
              <w:rPr>
                <w:rFonts w:ascii="Times New Roman" w:hAnsi="Times New Roman" w:cs="Times New Roman"/>
              </w:rPr>
            </w:pPr>
            <w:r w:rsidRPr="00D302E6">
              <w:rPr>
                <w:rFonts w:ascii="Times New Roman" w:hAnsi="Times New Roman" w:cs="Times New Roman"/>
              </w:rPr>
              <w:t xml:space="preserve">• </w:t>
            </w:r>
            <w:r w:rsidR="00F90CEE" w:rsidRPr="00D302E6">
              <w:rPr>
                <w:rFonts w:ascii="Times New Roman" w:hAnsi="Times New Roman" w:cs="Times New Roman"/>
              </w:rPr>
              <w:t xml:space="preserve">The main evidence implicating c-Abl in </w:t>
            </w:r>
            <w:r w:rsidR="00D302E6">
              <w:rPr>
                <w:rFonts w:ascii="Times New Roman" w:hAnsi="Times New Roman" w:cs="Times New Roman"/>
              </w:rPr>
              <w:t>this process (and PD</w:t>
            </w:r>
            <w:r w:rsidR="00F90CEE" w:rsidRPr="00D302E6">
              <w:rPr>
                <w:rFonts w:ascii="Times New Roman" w:hAnsi="Times New Roman" w:cs="Times New Roman"/>
              </w:rPr>
              <w:t xml:space="preserve"> progression</w:t>
            </w:r>
            <w:r w:rsidR="00D302E6">
              <w:rPr>
                <w:rFonts w:ascii="Times New Roman" w:hAnsi="Times New Roman" w:cs="Times New Roman"/>
              </w:rPr>
              <w:t>)</w:t>
            </w:r>
            <w:r w:rsidR="00F90CEE" w:rsidRPr="00D302E6">
              <w:rPr>
                <w:rFonts w:ascii="Times New Roman" w:hAnsi="Times New Roman" w:cs="Times New Roman"/>
              </w:rPr>
              <w:t xml:space="preserve"> appears to be from observational autopsy studies, which raises questions about c-Abl elevation as a cause vs. a correlation of PD progression.</w:t>
            </w:r>
            <w:r w:rsidR="008D68BA" w:rsidRPr="00D302E6">
              <w:rPr>
                <w:rFonts w:ascii="Times New Roman" w:hAnsi="Times New Roman" w:cs="Times New Roman"/>
              </w:rPr>
              <w:t xml:space="preserve"> So- even if c-Abl is successfully targeted, the effect on alpha synuclein target is unclear.</w:t>
            </w:r>
          </w:p>
          <w:p w14:paraId="7E856550" w14:textId="391AA15B" w:rsidR="00473064" w:rsidRPr="00D302E6" w:rsidRDefault="00473064" w:rsidP="00DB01CF">
            <w:pPr>
              <w:rPr>
                <w:rFonts w:ascii="Times New Roman" w:hAnsi="Times New Roman" w:cs="Times New Roman"/>
              </w:rPr>
            </w:pPr>
            <w:r w:rsidRPr="00D302E6">
              <w:rPr>
                <w:rFonts w:ascii="Times New Roman" w:hAnsi="Times New Roman" w:cs="Times New Roman"/>
              </w:rPr>
              <w:t>• Evidence implicating c-Abl as a key step in PD progression is</w:t>
            </w:r>
            <w:r w:rsidR="00662ACC" w:rsidRPr="00D302E6">
              <w:rPr>
                <w:rFonts w:ascii="Times New Roman" w:hAnsi="Times New Roman" w:cs="Times New Roman"/>
              </w:rPr>
              <w:t xml:space="preserve"> also</w:t>
            </w:r>
            <w:r w:rsidRPr="00D302E6">
              <w:rPr>
                <w:rFonts w:ascii="Times New Roman" w:hAnsi="Times New Roman" w:cs="Times New Roman"/>
              </w:rPr>
              <w:t xml:space="preserve"> indirect. For example, even if c-Abl plays a key role in autophagy, it is unclear whether other factors- including other tyrosine kinases not inhibited by </w:t>
            </w:r>
            <w:r w:rsidR="00D302E6">
              <w:rPr>
                <w:rFonts w:ascii="Times New Roman" w:hAnsi="Times New Roman" w:cs="Times New Roman"/>
              </w:rPr>
              <w:t>nilotinib</w:t>
            </w:r>
            <w:r w:rsidRPr="00D302E6">
              <w:rPr>
                <w:rFonts w:ascii="Times New Roman" w:hAnsi="Times New Roman" w:cs="Times New Roman"/>
              </w:rPr>
              <w:t>, might play a similar</w:t>
            </w:r>
            <w:r w:rsidR="00D302E6">
              <w:rPr>
                <w:rFonts w:ascii="Times New Roman" w:hAnsi="Times New Roman" w:cs="Times New Roman"/>
              </w:rPr>
              <w:t xml:space="preserve"> (or compensatory)</w:t>
            </w:r>
            <w:r w:rsidRPr="00D302E6">
              <w:rPr>
                <w:rFonts w:ascii="Times New Roman" w:hAnsi="Times New Roman" w:cs="Times New Roman"/>
              </w:rPr>
              <w:t xml:space="preserve"> role such that c-Abl inhibition does not restore autophagy</w:t>
            </w:r>
            <w:r w:rsidR="00662ACC" w:rsidRPr="00D302E6">
              <w:rPr>
                <w:rFonts w:ascii="Times New Roman" w:hAnsi="Times New Roman" w:cs="Times New Roman"/>
              </w:rPr>
              <w:t>.</w:t>
            </w:r>
          </w:p>
          <w:p w14:paraId="58D13FA2" w14:textId="47524D38" w:rsidR="00662ACC" w:rsidRPr="00D302E6" w:rsidRDefault="00662ACC" w:rsidP="00DB01CF">
            <w:pPr>
              <w:rPr>
                <w:rFonts w:ascii="Times New Roman" w:hAnsi="Times New Roman" w:cs="Times New Roman"/>
              </w:rPr>
            </w:pPr>
            <w:r w:rsidRPr="00D302E6">
              <w:rPr>
                <w:rFonts w:ascii="Times New Roman" w:hAnsi="Times New Roman" w:cs="Times New Roman"/>
              </w:rPr>
              <w:t xml:space="preserve">• To reach its target, nilotinib will need to cross the blood brain barrier. The protocol </w:t>
            </w:r>
            <w:r w:rsidR="00E04ABF" w:rsidRPr="00D302E6">
              <w:rPr>
                <w:rFonts w:ascii="Times New Roman" w:hAnsi="Times New Roman" w:cs="Times New Roman"/>
              </w:rPr>
              <w:t>provides no information</w:t>
            </w:r>
            <w:r w:rsidR="008D68BA" w:rsidRPr="00D302E6">
              <w:rPr>
                <w:rFonts w:ascii="Times New Roman" w:hAnsi="Times New Roman" w:cs="Times New Roman"/>
              </w:rPr>
              <w:t xml:space="preserve">- other than that </w:t>
            </w:r>
            <w:r w:rsidR="008D68BA" w:rsidRPr="00D302E6">
              <w:rPr>
                <w:rFonts w:ascii="Times New Roman" w:hAnsi="Times New Roman" w:cs="Times New Roman"/>
              </w:rPr>
              <w:lastRenderedPageBreak/>
              <w:t>described under question 1-</w:t>
            </w:r>
            <w:r w:rsidR="00E04ABF" w:rsidRPr="00D302E6">
              <w:rPr>
                <w:rFonts w:ascii="Times New Roman" w:hAnsi="Times New Roman" w:cs="Times New Roman"/>
              </w:rPr>
              <w:t xml:space="preserve"> to help assess whether drug crosses blood brain barrier. </w:t>
            </w:r>
          </w:p>
        </w:tc>
      </w:tr>
      <w:tr w:rsidR="00EF5346" w:rsidRPr="00D302E6" w14:paraId="61342A67" w14:textId="77777777" w:rsidTr="00DB01CF">
        <w:tc>
          <w:tcPr>
            <w:tcW w:w="9350" w:type="dxa"/>
            <w:gridSpan w:val="2"/>
            <w:shd w:val="clear" w:color="auto" w:fill="ADADAD" w:themeFill="background2" w:themeFillShade="BF"/>
          </w:tcPr>
          <w:p w14:paraId="32BB9447" w14:textId="77777777" w:rsidR="00EF5346" w:rsidRPr="00D302E6" w:rsidRDefault="00EF5346" w:rsidP="00DB01CF">
            <w:pPr>
              <w:rPr>
                <w:rFonts w:ascii="Times New Roman" w:hAnsi="Times New Roman" w:cs="Times New Roman"/>
                <w:b/>
                <w:bCs/>
                <w:sz w:val="36"/>
                <w:szCs w:val="36"/>
              </w:rPr>
            </w:pPr>
            <w:r w:rsidRPr="00D302E6">
              <w:rPr>
                <w:rFonts w:ascii="Times New Roman" w:hAnsi="Times New Roman" w:cs="Times New Roman"/>
                <w:b/>
                <w:bCs/>
                <w:sz w:val="36"/>
                <w:szCs w:val="36"/>
              </w:rPr>
              <w:lastRenderedPageBreak/>
              <w:t>Evidence of Physiological Effect</w:t>
            </w:r>
          </w:p>
        </w:tc>
      </w:tr>
      <w:tr w:rsidR="00EF5346" w:rsidRPr="00D302E6" w14:paraId="54EA74F6" w14:textId="77777777" w:rsidTr="00DB01CF">
        <w:tc>
          <w:tcPr>
            <w:tcW w:w="9350" w:type="dxa"/>
            <w:gridSpan w:val="2"/>
            <w:shd w:val="clear" w:color="auto" w:fill="C1F0C7" w:themeFill="accent3" w:themeFillTint="33"/>
          </w:tcPr>
          <w:p w14:paraId="294B9D9E"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4. How strong is the evidence that engaging the molecular target in patients with the target disease produces the desired physiological effect?</w:t>
            </w:r>
          </w:p>
        </w:tc>
      </w:tr>
      <w:tr w:rsidR="00EF5346" w:rsidRPr="00D302E6" w14:paraId="6ED92983" w14:textId="77777777" w:rsidTr="00DB01CF">
        <w:tc>
          <w:tcPr>
            <w:tcW w:w="9350" w:type="dxa"/>
            <w:gridSpan w:val="2"/>
            <w:shd w:val="clear" w:color="auto" w:fill="C1F0C7" w:themeFill="accent3" w:themeFillTint="33"/>
          </w:tcPr>
          <w:p w14:paraId="55E28A1C" w14:textId="13CEF7ED" w:rsidR="00EF5346" w:rsidRPr="00D302E6" w:rsidRDefault="00380661" w:rsidP="00DB01CF">
            <w:pPr>
              <w:rPr>
                <w:rFonts w:ascii="Times New Roman" w:hAnsi="Times New Roman" w:cs="Times New Roman"/>
                <w:b/>
                <w:bCs/>
              </w:rPr>
            </w:pPr>
            <w:r w:rsidRPr="00D302E6">
              <w:rPr>
                <w:rFonts w:ascii="Times New Roman" w:hAnsi="Times New Roman" w:cs="Times New Roman"/>
              </w:rPr>
              <w:t xml:space="preserve">[Above effects in 1] the authors reported significant increase in CSF dopamine </w:t>
            </w:r>
            <w:proofErr w:type="gramStart"/>
            <w:r w:rsidRPr="00D302E6">
              <w:rPr>
                <w:rFonts w:ascii="Times New Roman" w:hAnsi="Times New Roman" w:cs="Times New Roman"/>
              </w:rPr>
              <w:t>metabolite,  on</w:t>
            </w:r>
            <w:proofErr w:type="gramEnd"/>
            <w:r w:rsidRPr="00D302E6">
              <w:rPr>
                <w:rFonts w:ascii="Times New Roman" w:hAnsi="Times New Roman" w:cs="Times New Roman"/>
              </w:rPr>
              <w:t xml:space="preserve"> </w:t>
            </w:r>
            <w:proofErr w:type="spellStart"/>
            <w:r w:rsidRPr="00D302E6">
              <w:rPr>
                <w:rFonts w:ascii="Times New Roman" w:hAnsi="Times New Roman" w:cs="Times New Roman"/>
              </w:rPr>
              <w:t>homovanilic</w:t>
            </w:r>
            <w:proofErr w:type="spellEnd"/>
            <w:r w:rsidRPr="00D302E6">
              <w:rPr>
                <w:rFonts w:ascii="Times New Roman" w:hAnsi="Times New Roman" w:cs="Times New Roman"/>
              </w:rPr>
              <w:t xml:space="preserve"> acid (HVA) in both treatment groups and interpreted it as potentially reflection of nilotinib induced up regulation and protection of dopamine neurons.</w:t>
            </w:r>
          </w:p>
        </w:tc>
      </w:tr>
      <w:tr w:rsidR="00EF5346" w:rsidRPr="00D302E6" w14:paraId="5CE6F566" w14:textId="77777777" w:rsidTr="00DB01CF">
        <w:tc>
          <w:tcPr>
            <w:tcW w:w="4675" w:type="dxa"/>
          </w:tcPr>
          <w:p w14:paraId="6E53668B" w14:textId="77777777" w:rsidR="00105194" w:rsidRPr="00D302E6" w:rsidRDefault="00105194" w:rsidP="00A7490E">
            <w:pPr>
              <w:pStyle w:val="ListParagraph"/>
              <w:rPr>
                <w:rFonts w:ascii="Times New Roman" w:hAnsi="Times New Roman" w:cs="Times New Roman"/>
                <w:b/>
                <w:bCs/>
                <w:u w:val="single"/>
                <w:shd w:val="clear" w:color="auto" w:fill="C00000"/>
              </w:rPr>
            </w:pPr>
          </w:p>
          <w:p w14:paraId="454A612F" w14:textId="4B492C38" w:rsidR="00EF5346" w:rsidRPr="00D302E6" w:rsidRDefault="00105194" w:rsidP="00A7490E">
            <w:pPr>
              <w:pStyle w:val="ListParagraph"/>
              <w:rPr>
                <w:rFonts w:ascii="Times New Roman" w:hAnsi="Times New Roman" w:cs="Times New Roman"/>
              </w:rPr>
            </w:pPr>
            <w:r w:rsidRPr="00D302E6">
              <w:rPr>
                <w:rFonts w:ascii="Times New Roman" w:hAnsi="Times New Roman" w:cs="Times New Roman"/>
                <w:shd w:val="clear" w:color="auto" w:fill="C00000"/>
              </w:rPr>
              <w:t>WEAK</w:t>
            </w:r>
          </w:p>
          <w:p w14:paraId="517F2788" w14:textId="5E44B6CD" w:rsidR="00EF5346" w:rsidRPr="00D302E6" w:rsidRDefault="00EF5346" w:rsidP="00F90CEE">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0DE240F4"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161C75FC" w14:textId="5D22AF75" w:rsidR="00F90CEE" w:rsidRPr="00D302E6" w:rsidRDefault="00F90CEE" w:rsidP="00DB01CF">
            <w:pPr>
              <w:rPr>
                <w:rFonts w:ascii="Times New Roman" w:hAnsi="Times New Roman" w:cs="Times New Roman"/>
              </w:rPr>
            </w:pPr>
            <w:r w:rsidRPr="00D302E6">
              <w:rPr>
                <w:rFonts w:ascii="Times New Roman" w:hAnsi="Times New Roman" w:cs="Times New Roman"/>
              </w:rPr>
              <w:t xml:space="preserve">• A </w:t>
            </w:r>
            <w:r w:rsidR="008D68BA" w:rsidRPr="00D302E6">
              <w:rPr>
                <w:rFonts w:ascii="Times New Roman" w:hAnsi="Times New Roman" w:cs="Times New Roman"/>
              </w:rPr>
              <w:t>“</w:t>
            </w:r>
            <w:r w:rsidRPr="00D302E6">
              <w:rPr>
                <w:rFonts w:ascii="Times New Roman" w:hAnsi="Times New Roman" w:cs="Times New Roman"/>
              </w:rPr>
              <w:t>significant</w:t>
            </w:r>
            <w:r w:rsidR="008D68BA" w:rsidRPr="00D302E6">
              <w:rPr>
                <w:rFonts w:ascii="Times New Roman" w:hAnsi="Times New Roman" w:cs="Times New Roman"/>
              </w:rPr>
              <w:t>”</w:t>
            </w:r>
            <w:r w:rsidRPr="00D302E6">
              <w:rPr>
                <w:rFonts w:ascii="Times New Roman" w:hAnsi="Times New Roman" w:cs="Times New Roman"/>
              </w:rPr>
              <w:t xml:space="preserve"> increase in a dopamine metabolite was observed</w:t>
            </w:r>
            <w:r w:rsidR="008D68BA" w:rsidRPr="00D302E6">
              <w:rPr>
                <w:rFonts w:ascii="Times New Roman" w:hAnsi="Times New Roman" w:cs="Times New Roman"/>
              </w:rPr>
              <w:t xml:space="preserve"> in a small open label study</w:t>
            </w:r>
            <w:r w:rsidRPr="00D302E6">
              <w:rPr>
                <w:rFonts w:ascii="Times New Roman" w:hAnsi="Times New Roman" w:cs="Times New Roman"/>
              </w:rPr>
              <w:t xml:space="preserve">, though the link between nilotinib and protection of dopamine neurons is </w:t>
            </w:r>
            <w:r w:rsidR="00D302E6">
              <w:rPr>
                <w:rFonts w:ascii="Times New Roman" w:hAnsi="Times New Roman" w:cs="Times New Roman"/>
              </w:rPr>
              <w:t xml:space="preserve">– by the sponsor’s admission- </w:t>
            </w:r>
            <w:r w:rsidRPr="00D302E6">
              <w:rPr>
                <w:rFonts w:ascii="Times New Roman" w:hAnsi="Times New Roman" w:cs="Times New Roman"/>
              </w:rPr>
              <w:t>speculative</w:t>
            </w:r>
            <w:r w:rsidR="008D68BA" w:rsidRPr="00D302E6">
              <w:rPr>
                <w:rFonts w:ascii="Times New Roman" w:hAnsi="Times New Roman" w:cs="Times New Roman"/>
              </w:rPr>
              <w:t>.</w:t>
            </w:r>
          </w:p>
        </w:tc>
      </w:tr>
      <w:tr w:rsidR="00EF5346" w:rsidRPr="00D302E6" w14:paraId="63233D69" w14:textId="77777777" w:rsidTr="00DB01CF">
        <w:tc>
          <w:tcPr>
            <w:tcW w:w="9350" w:type="dxa"/>
            <w:gridSpan w:val="2"/>
            <w:shd w:val="clear" w:color="auto" w:fill="F2CEED" w:themeFill="accent5" w:themeFillTint="33"/>
          </w:tcPr>
          <w:p w14:paraId="23613461"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5. How strong is the evidence that engaging the molecular target in a model system produces the desired physiological effect in that model system?</w:t>
            </w:r>
          </w:p>
        </w:tc>
      </w:tr>
      <w:tr w:rsidR="00EF5346" w:rsidRPr="00D302E6" w14:paraId="76F3AD7D" w14:textId="77777777" w:rsidTr="00DB01CF">
        <w:tc>
          <w:tcPr>
            <w:tcW w:w="9350" w:type="dxa"/>
            <w:gridSpan w:val="2"/>
            <w:shd w:val="clear" w:color="auto" w:fill="F2CEED" w:themeFill="accent5" w:themeFillTint="33"/>
          </w:tcPr>
          <w:p w14:paraId="6EC2DFC6" w14:textId="59E7B0F6" w:rsidR="00EF5346" w:rsidRPr="00D302E6" w:rsidRDefault="00B02656" w:rsidP="00DB01CF">
            <w:pPr>
              <w:rPr>
                <w:rFonts w:ascii="Times New Roman" w:hAnsi="Times New Roman" w:cs="Times New Roman"/>
              </w:rPr>
            </w:pPr>
            <w:r w:rsidRPr="00D302E6">
              <w:rPr>
                <w:rFonts w:ascii="Times New Roman" w:hAnsi="Times New Roman" w:cs="Times New Roman"/>
                <w:b/>
                <w:bCs/>
              </w:rPr>
              <w:t>“</w:t>
            </w:r>
            <w:r w:rsidRPr="00D302E6">
              <w:rPr>
                <w:rFonts w:ascii="Times New Roman" w:hAnsi="Times New Roman" w:cs="Times New Roman"/>
              </w:rPr>
              <w:t>More importantly, inhibition of c-Abl by nilotinib</w:t>
            </w:r>
            <w:r w:rsidR="00A7490E" w:rsidRPr="00D302E6">
              <w:rPr>
                <w:rFonts w:ascii="Times New Roman" w:hAnsi="Times New Roman" w:cs="Times New Roman"/>
              </w:rPr>
              <w:t>…</w:t>
            </w:r>
            <w:r w:rsidRPr="00D302E6">
              <w:rPr>
                <w:rFonts w:ascii="Times New Roman" w:hAnsi="Times New Roman" w:cs="Times New Roman"/>
              </w:rPr>
              <w:t xml:space="preserve"> ameliorated α -synuclein pathology and rescued dopamine neuronal loss in mouse models of PD1,3”</w:t>
            </w:r>
          </w:p>
          <w:p w14:paraId="04F825F3" w14:textId="77777777" w:rsidR="00B02656" w:rsidRPr="00D302E6" w:rsidRDefault="00B02656" w:rsidP="00DB01CF">
            <w:pPr>
              <w:rPr>
                <w:rFonts w:ascii="Times New Roman" w:hAnsi="Times New Roman" w:cs="Times New Roman"/>
                <w:b/>
                <w:bCs/>
              </w:rPr>
            </w:pPr>
          </w:p>
          <w:p w14:paraId="400E12CA" w14:textId="0358BCB0" w:rsidR="00B02656" w:rsidRPr="00D302E6" w:rsidRDefault="00B02656" w:rsidP="00DB01CF">
            <w:pPr>
              <w:rPr>
                <w:rFonts w:ascii="Times New Roman" w:hAnsi="Times New Roman" w:cs="Times New Roman"/>
                <w:b/>
                <w:bCs/>
              </w:rPr>
            </w:pPr>
            <w:r w:rsidRPr="00D302E6">
              <w:rPr>
                <w:rFonts w:ascii="Times New Roman" w:hAnsi="Times New Roman" w:cs="Times New Roman"/>
              </w:rPr>
              <w:t xml:space="preserve">Using mouse genetic </w:t>
            </w:r>
            <w:proofErr w:type="gramStart"/>
            <w:r w:rsidRPr="00D302E6">
              <w:rPr>
                <w:rFonts w:ascii="Times New Roman" w:hAnsi="Times New Roman" w:cs="Times New Roman"/>
              </w:rPr>
              <w:t>models</w:t>
            </w:r>
            <w:proofErr w:type="gramEnd"/>
            <w:r w:rsidRPr="00D302E6">
              <w:rPr>
                <w:rFonts w:ascii="Times New Roman" w:hAnsi="Times New Roman" w:cs="Times New Roman"/>
              </w:rPr>
              <w:t xml:space="preserve"> they demonstrated that deletion of the gene encoding c-Abl reduced α-synuclein aggregation… whereas overexpression of the constitutively active c-Abl accelerated α-synuclein aggregation, neuropathology,” </w:t>
            </w:r>
          </w:p>
        </w:tc>
      </w:tr>
      <w:tr w:rsidR="00EF5346" w:rsidRPr="00D302E6" w14:paraId="49DE0AF7" w14:textId="77777777" w:rsidTr="00DB01CF">
        <w:tc>
          <w:tcPr>
            <w:tcW w:w="4675" w:type="dxa"/>
          </w:tcPr>
          <w:p w14:paraId="16772967" w14:textId="77777777" w:rsidR="00D302E6" w:rsidRDefault="00D302E6" w:rsidP="00EF5782">
            <w:pPr>
              <w:pStyle w:val="ListParagraph"/>
              <w:rPr>
                <w:rFonts w:ascii="Times New Roman" w:hAnsi="Times New Roman" w:cs="Times New Roman"/>
                <w:highlight w:val="yellow"/>
                <w:shd w:val="clear" w:color="auto" w:fill="F1A983" w:themeFill="accent2" w:themeFillTint="99"/>
              </w:rPr>
            </w:pPr>
          </w:p>
          <w:p w14:paraId="316CD4D6" w14:textId="09DA4AE0" w:rsidR="00EF5346" w:rsidRPr="00D302E6" w:rsidRDefault="00105194" w:rsidP="00EF5782">
            <w:pPr>
              <w:pStyle w:val="ListParagraph"/>
              <w:rPr>
                <w:rFonts w:ascii="Times New Roman" w:hAnsi="Times New Roman" w:cs="Times New Roman"/>
              </w:rPr>
            </w:pPr>
            <w:r w:rsidRPr="00D302E6">
              <w:rPr>
                <w:rFonts w:ascii="Times New Roman" w:hAnsi="Times New Roman" w:cs="Times New Roman"/>
                <w:highlight w:val="yellow"/>
                <w:shd w:val="clear" w:color="auto" w:fill="F1A983" w:themeFill="accent2" w:themeFillTint="99"/>
              </w:rPr>
              <w:t>MODERATE</w:t>
            </w:r>
          </w:p>
          <w:p w14:paraId="7547BB96" w14:textId="746022BA" w:rsidR="00EF5346" w:rsidRPr="00D302E6" w:rsidRDefault="00EF5346" w:rsidP="00EF5782">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51D3E62A"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04EA58AA" w14:textId="79A6AA25" w:rsidR="00A7490E" w:rsidRPr="00D302E6" w:rsidRDefault="00A7490E" w:rsidP="00DB01CF">
            <w:pPr>
              <w:rPr>
                <w:rFonts w:ascii="Times New Roman" w:hAnsi="Times New Roman" w:cs="Times New Roman"/>
              </w:rPr>
            </w:pPr>
            <w:r w:rsidRPr="00D302E6">
              <w:rPr>
                <w:rFonts w:ascii="Times New Roman" w:hAnsi="Times New Roman" w:cs="Times New Roman"/>
              </w:rPr>
              <w:t xml:space="preserve">• Sponsor seems to have tested c-Abl effect on PD pathology in </w:t>
            </w:r>
            <w:r w:rsidR="008D68BA" w:rsidRPr="00D302E6">
              <w:rPr>
                <w:rFonts w:ascii="Times New Roman" w:hAnsi="Times New Roman" w:cs="Times New Roman"/>
              </w:rPr>
              <w:t>two</w:t>
            </w:r>
            <w:r w:rsidRPr="00D302E6">
              <w:rPr>
                <w:rFonts w:ascii="Times New Roman" w:hAnsi="Times New Roman" w:cs="Times New Roman"/>
              </w:rPr>
              <w:t xml:space="preserve"> model </w:t>
            </w:r>
            <w:r w:rsidR="00D302E6">
              <w:rPr>
                <w:rFonts w:ascii="Times New Roman" w:hAnsi="Times New Roman" w:cs="Times New Roman"/>
              </w:rPr>
              <w:t>paradigms:</w:t>
            </w:r>
            <w:r w:rsidRPr="00D302E6">
              <w:rPr>
                <w:rFonts w:ascii="Times New Roman" w:hAnsi="Times New Roman" w:cs="Times New Roman"/>
              </w:rPr>
              <w:t xml:space="preserve"> a c-Abl </w:t>
            </w:r>
            <w:r w:rsidR="00D302E6">
              <w:rPr>
                <w:rFonts w:ascii="Times New Roman" w:hAnsi="Times New Roman" w:cs="Times New Roman"/>
              </w:rPr>
              <w:t>paradigm</w:t>
            </w:r>
            <w:r w:rsidR="008D68BA" w:rsidRPr="00D302E6">
              <w:rPr>
                <w:rFonts w:ascii="Times New Roman" w:hAnsi="Times New Roman" w:cs="Times New Roman"/>
              </w:rPr>
              <w:t xml:space="preserve"> (</w:t>
            </w:r>
            <w:r w:rsidRPr="00D302E6">
              <w:rPr>
                <w:rFonts w:ascii="Times New Roman" w:hAnsi="Times New Roman" w:cs="Times New Roman"/>
              </w:rPr>
              <w:t xml:space="preserve">knockout, </w:t>
            </w:r>
            <w:r w:rsidR="008D68BA" w:rsidRPr="00D302E6">
              <w:rPr>
                <w:rFonts w:ascii="Times New Roman" w:hAnsi="Times New Roman" w:cs="Times New Roman"/>
              </w:rPr>
              <w:t>and</w:t>
            </w:r>
            <w:r w:rsidRPr="00D302E6">
              <w:rPr>
                <w:rFonts w:ascii="Times New Roman" w:hAnsi="Times New Roman" w:cs="Times New Roman"/>
              </w:rPr>
              <w:t xml:space="preserve"> overexpression</w:t>
            </w:r>
            <w:r w:rsidR="008D68BA" w:rsidRPr="00D302E6">
              <w:rPr>
                <w:rFonts w:ascii="Times New Roman" w:hAnsi="Times New Roman" w:cs="Times New Roman"/>
              </w:rPr>
              <w:t>)</w:t>
            </w:r>
            <w:r w:rsidRPr="00D302E6">
              <w:rPr>
                <w:rFonts w:ascii="Times New Roman" w:hAnsi="Times New Roman" w:cs="Times New Roman"/>
              </w:rPr>
              <w:t xml:space="preserve"> and a PD model</w:t>
            </w:r>
            <w:r w:rsidR="00D302E6">
              <w:rPr>
                <w:rFonts w:ascii="Times New Roman" w:hAnsi="Times New Roman" w:cs="Times New Roman"/>
              </w:rPr>
              <w:t xml:space="preserve"> paradigm</w:t>
            </w:r>
            <w:r w:rsidRPr="00D302E6">
              <w:rPr>
                <w:rFonts w:ascii="Times New Roman" w:hAnsi="Times New Roman" w:cs="Times New Roman"/>
              </w:rPr>
              <w:t>.</w:t>
            </w:r>
          </w:p>
          <w:p w14:paraId="6A31F223" w14:textId="3BF30052" w:rsidR="00A7490E" w:rsidRPr="00D302E6" w:rsidRDefault="00A7490E" w:rsidP="00DB01CF">
            <w:pPr>
              <w:rPr>
                <w:rFonts w:ascii="Times New Roman" w:hAnsi="Times New Roman" w:cs="Times New Roman"/>
              </w:rPr>
            </w:pPr>
            <w:r w:rsidRPr="00D302E6">
              <w:rPr>
                <w:rFonts w:ascii="Times New Roman" w:hAnsi="Times New Roman" w:cs="Times New Roman"/>
              </w:rPr>
              <w:t xml:space="preserve">• On the other hand, the sample size, magnitude of effect and risk of bias for all mouse studies </w:t>
            </w:r>
            <w:r w:rsidR="00EF5782" w:rsidRPr="00D302E6">
              <w:rPr>
                <w:rFonts w:ascii="Times New Roman" w:hAnsi="Times New Roman" w:cs="Times New Roman"/>
              </w:rPr>
              <w:t>are</w:t>
            </w:r>
            <w:r w:rsidRPr="00D302E6">
              <w:rPr>
                <w:rFonts w:ascii="Times New Roman" w:hAnsi="Times New Roman" w:cs="Times New Roman"/>
              </w:rPr>
              <w:t xml:space="preserve"> </w:t>
            </w:r>
            <w:r w:rsidR="00EF5782" w:rsidRPr="00D302E6">
              <w:rPr>
                <w:rFonts w:ascii="Times New Roman" w:hAnsi="Times New Roman" w:cs="Times New Roman"/>
              </w:rPr>
              <w:t>uncertain, raising questions about the robustness of these findings</w:t>
            </w:r>
            <w:r w:rsidRPr="00D302E6">
              <w:rPr>
                <w:rFonts w:ascii="Times New Roman" w:hAnsi="Times New Roman" w:cs="Times New Roman"/>
              </w:rPr>
              <w:t>.</w:t>
            </w:r>
          </w:p>
          <w:p w14:paraId="0A80DB1D" w14:textId="5179305C" w:rsidR="00D37FBB" w:rsidRPr="00D302E6" w:rsidRDefault="00D37FBB" w:rsidP="00DB01CF">
            <w:pPr>
              <w:rPr>
                <w:rFonts w:ascii="Times New Roman" w:hAnsi="Times New Roman" w:cs="Times New Roman"/>
              </w:rPr>
            </w:pPr>
            <w:r w:rsidRPr="00D302E6">
              <w:rPr>
                <w:rFonts w:ascii="Times New Roman" w:hAnsi="Times New Roman" w:cs="Times New Roman"/>
              </w:rPr>
              <w:t>• There seems to be a large body of evidence supporting a relationship between alpha synuclein accumulation and PD progression, suggesting that if physiological effects are observed, clinical effects will follow.</w:t>
            </w:r>
          </w:p>
          <w:p w14:paraId="5BF46546" w14:textId="6C1B63A1" w:rsidR="00A7490E" w:rsidRPr="00D302E6" w:rsidRDefault="00A7490E" w:rsidP="00DB01CF">
            <w:pPr>
              <w:rPr>
                <w:rFonts w:ascii="Times New Roman" w:hAnsi="Times New Roman" w:cs="Times New Roman"/>
              </w:rPr>
            </w:pPr>
          </w:p>
        </w:tc>
      </w:tr>
      <w:tr w:rsidR="00EF5346" w:rsidRPr="00D302E6" w14:paraId="47A5E01D" w14:textId="77777777" w:rsidTr="00DB01CF">
        <w:tc>
          <w:tcPr>
            <w:tcW w:w="9350" w:type="dxa"/>
            <w:gridSpan w:val="2"/>
            <w:shd w:val="clear" w:color="auto" w:fill="C1E4F5" w:themeFill="accent1" w:themeFillTint="33"/>
          </w:tcPr>
          <w:p w14:paraId="66578C15"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6. How strong are the grounds for believing that physiological outcomes observed in model systems predicts outcomes in patients with the target disease?</w:t>
            </w:r>
          </w:p>
        </w:tc>
      </w:tr>
      <w:tr w:rsidR="00EF5346" w:rsidRPr="00D302E6" w14:paraId="671FCD37" w14:textId="77777777" w:rsidTr="00DB01CF">
        <w:tc>
          <w:tcPr>
            <w:tcW w:w="9350" w:type="dxa"/>
            <w:gridSpan w:val="2"/>
            <w:shd w:val="clear" w:color="auto" w:fill="C1E4F5" w:themeFill="accent1" w:themeFillTint="33"/>
          </w:tcPr>
          <w:p w14:paraId="0B481379" w14:textId="7E71ACD6" w:rsidR="00EF5346" w:rsidRPr="00D302E6" w:rsidRDefault="00B02656" w:rsidP="00DB01CF">
            <w:pPr>
              <w:rPr>
                <w:rFonts w:ascii="Times New Roman" w:hAnsi="Times New Roman" w:cs="Times New Roman"/>
                <w:b/>
                <w:bCs/>
              </w:rPr>
            </w:pPr>
            <w:r w:rsidRPr="00D302E6">
              <w:rPr>
                <w:rFonts w:ascii="Times New Roman" w:hAnsi="Times New Roman" w:cs="Times New Roman"/>
                <w:b/>
                <w:bCs/>
              </w:rPr>
              <w:t>“</w:t>
            </w:r>
            <w:r w:rsidRPr="00D302E6">
              <w:rPr>
                <w:rFonts w:ascii="Times New Roman" w:hAnsi="Times New Roman" w:cs="Times New Roman"/>
              </w:rPr>
              <w:t>Recent analyses of animal models of PD show an increase in the level of c-Abl as well as increases in the phosphorylation of its protein substrates, α-synuclein and parkin in dopaminergic neurons1,3,7,35-37.”</w:t>
            </w:r>
          </w:p>
        </w:tc>
      </w:tr>
      <w:tr w:rsidR="00EF5346" w:rsidRPr="00D302E6" w14:paraId="0B11177C" w14:textId="77777777" w:rsidTr="00DB01CF">
        <w:tc>
          <w:tcPr>
            <w:tcW w:w="4675" w:type="dxa"/>
          </w:tcPr>
          <w:p w14:paraId="55111052" w14:textId="77777777" w:rsidR="00D302E6" w:rsidRDefault="00D302E6" w:rsidP="00E04ABF">
            <w:pPr>
              <w:pStyle w:val="ListParagraph"/>
              <w:rPr>
                <w:rFonts w:ascii="Times New Roman" w:hAnsi="Times New Roman" w:cs="Times New Roman"/>
                <w:shd w:val="clear" w:color="auto" w:fill="C00000"/>
              </w:rPr>
            </w:pPr>
          </w:p>
          <w:p w14:paraId="5FFDEC8B" w14:textId="747C0678" w:rsidR="00EF5346" w:rsidRPr="00D302E6" w:rsidRDefault="00E04ABF" w:rsidP="00E04ABF">
            <w:pPr>
              <w:pStyle w:val="ListParagraph"/>
              <w:rPr>
                <w:rFonts w:ascii="Times New Roman" w:hAnsi="Times New Roman" w:cs="Times New Roman"/>
              </w:rPr>
            </w:pPr>
            <w:r w:rsidRPr="00D302E6">
              <w:rPr>
                <w:rFonts w:ascii="Times New Roman" w:hAnsi="Times New Roman" w:cs="Times New Roman"/>
                <w:shd w:val="clear" w:color="auto" w:fill="C00000"/>
              </w:rPr>
              <w:t>WEAK</w:t>
            </w:r>
          </w:p>
          <w:p w14:paraId="2B68774D" w14:textId="06AE7EEC" w:rsidR="00EF5346" w:rsidRPr="00D302E6" w:rsidRDefault="00EF5346" w:rsidP="00E04ABF">
            <w:pPr>
              <w:pStyle w:val="ListParagraph"/>
              <w:rPr>
                <w:rFonts w:ascii="Times New Roman" w:hAnsi="Times New Roman" w:cs="Times New Roman"/>
                <w:b/>
                <w:bCs/>
              </w:rPr>
            </w:pPr>
            <w:r w:rsidRPr="00D302E6">
              <w:rPr>
                <w:rFonts w:ascii="Times New Roman" w:hAnsi="Times New Roman" w:cs="Times New Roman"/>
              </w:rPr>
              <w:lastRenderedPageBreak/>
              <w:br/>
            </w:r>
          </w:p>
        </w:tc>
        <w:tc>
          <w:tcPr>
            <w:tcW w:w="4675" w:type="dxa"/>
          </w:tcPr>
          <w:p w14:paraId="637E4868" w14:textId="67059798" w:rsidR="00105194" w:rsidRPr="00D302E6" w:rsidRDefault="00EF5346" w:rsidP="00DB01CF">
            <w:pPr>
              <w:rPr>
                <w:rFonts w:ascii="Times New Roman" w:hAnsi="Times New Roman" w:cs="Times New Roman"/>
              </w:rPr>
            </w:pPr>
            <w:r w:rsidRPr="00D302E6">
              <w:rPr>
                <w:rFonts w:ascii="Times New Roman" w:hAnsi="Times New Roman" w:cs="Times New Roman"/>
              </w:rPr>
              <w:lastRenderedPageBreak/>
              <w:t>Justification/Notes:</w:t>
            </w:r>
          </w:p>
          <w:p w14:paraId="12D1AA5F" w14:textId="22611DF7" w:rsidR="00E04ABF" w:rsidRPr="00D302E6" w:rsidRDefault="00E04ABF" w:rsidP="00DB01CF">
            <w:pPr>
              <w:rPr>
                <w:rFonts w:ascii="Times New Roman" w:hAnsi="Times New Roman" w:cs="Times New Roman"/>
              </w:rPr>
            </w:pPr>
            <w:r w:rsidRPr="00D302E6">
              <w:rPr>
                <w:rFonts w:ascii="Times New Roman" w:hAnsi="Times New Roman" w:cs="Times New Roman"/>
              </w:rPr>
              <w:lastRenderedPageBreak/>
              <w:t xml:space="preserve">• </w:t>
            </w:r>
            <w:r w:rsidR="008D68BA" w:rsidRPr="00D302E6">
              <w:rPr>
                <w:rFonts w:ascii="Times New Roman" w:hAnsi="Times New Roman" w:cs="Times New Roman"/>
              </w:rPr>
              <w:t>On the one hand, t</w:t>
            </w:r>
            <w:r w:rsidRPr="00D302E6">
              <w:rPr>
                <w:rFonts w:ascii="Times New Roman" w:hAnsi="Times New Roman" w:cs="Times New Roman"/>
              </w:rPr>
              <w:t>he protocol provides little information on the models, or the conditions under which models were tested, for assessing construct validity of preclinical studies.</w:t>
            </w:r>
          </w:p>
          <w:p w14:paraId="3598F3D3" w14:textId="4305AE07" w:rsidR="00E04ABF" w:rsidRPr="00D302E6" w:rsidRDefault="00E04ABF" w:rsidP="00DB01CF">
            <w:pPr>
              <w:rPr>
                <w:rFonts w:ascii="Times New Roman" w:hAnsi="Times New Roman" w:cs="Times New Roman"/>
              </w:rPr>
            </w:pPr>
            <w:r w:rsidRPr="00D302E6">
              <w:rPr>
                <w:rFonts w:ascii="Times New Roman" w:hAnsi="Times New Roman" w:cs="Times New Roman"/>
              </w:rPr>
              <w:t xml:space="preserve">• </w:t>
            </w:r>
            <w:r w:rsidR="00D37FBB" w:rsidRPr="00D302E6">
              <w:rPr>
                <w:rFonts w:ascii="Times New Roman" w:hAnsi="Times New Roman" w:cs="Times New Roman"/>
              </w:rPr>
              <w:t>T</w:t>
            </w:r>
            <w:r w:rsidRPr="00D302E6">
              <w:rPr>
                <w:rFonts w:ascii="Times New Roman" w:hAnsi="Times New Roman" w:cs="Times New Roman"/>
              </w:rPr>
              <w:t>here is no “ruling out” of interfering effects- for example, other tyrosine kinases that might be upregulated in response to c-Abl inhibition</w:t>
            </w:r>
            <w:r w:rsidR="00D302E6">
              <w:rPr>
                <w:rFonts w:ascii="Times New Roman" w:hAnsi="Times New Roman" w:cs="Times New Roman"/>
              </w:rPr>
              <w:t>, or that might serve redundant functions.</w:t>
            </w:r>
          </w:p>
          <w:p w14:paraId="250790E8" w14:textId="4BF216D6" w:rsidR="00D37FBB" w:rsidRPr="00D302E6" w:rsidRDefault="00D37FBB" w:rsidP="00DB01CF">
            <w:pPr>
              <w:rPr>
                <w:rFonts w:ascii="Times New Roman" w:hAnsi="Times New Roman" w:cs="Times New Roman"/>
              </w:rPr>
            </w:pPr>
            <w:r w:rsidRPr="00D302E6">
              <w:rPr>
                <w:rFonts w:ascii="Times New Roman" w:hAnsi="Times New Roman" w:cs="Times New Roman"/>
              </w:rPr>
              <w:t>• Even if there is strong evidence implicating alpha synuclein accumulation in path</w:t>
            </w:r>
            <w:r w:rsidR="00D302E6">
              <w:rPr>
                <w:rFonts w:ascii="Times New Roman" w:hAnsi="Times New Roman" w:cs="Times New Roman"/>
              </w:rPr>
              <w:t>o</w:t>
            </w:r>
            <w:r w:rsidRPr="00D302E6">
              <w:rPr>
                <w:rFonts w:ascii="Times New Roman" w:hAnsi="Times New Roman" w:cs="Times New Roman"/>
              </w:rPr>
              <w:t>genesis of PD, it is not established that inhibiting this process through the c-Abl mechanism would meaningfully impact the process in target patients.</w:t>
            </w:r>
          </w:p>
          <w:p w14:paraId="61B5808A" w14:textId="3BA4A89E" w:rsidR="00E04ABF" w:rsidRPr="00D302E6" w:rsidRDefault="00E04ABF" w:rsidP="00DB01CF">
            <w:pPr>
              <w:rPr>
                <w:rFonts w:ascii="Times New Roman" w:hAnsi="Times New Roman" w:cs="Times New Roman"/>
              </w:rPr>
            </w:pPr>
            <w:r w:rsidRPr="00D302E6">
              <w:rPr>
                <w:rFonts w:ascii="Times New Roman" w:hAnsi="Times New Roman" w:cs="Times New Roman"/>
              </w:rPr>
              <w:t>• On the other hand, the fact that the effect was observed in essentially two paradigms (models varying Abl expression and other PD models) is some evidence of a robust</w:t>
            </w:r>
            <w:r w:rsidR="008D68BA" w:rsidRPr="00D302E6">
              <w:rPr>
                <w:rFonts w:ascii="Times New Roman" w:hAnsi="Times New Roman" w:cs="Times New Roman"/>
              </w:rPr>
              <w:t xml:space="preserve"> and translatable</w:t>
            </w:r>
            <w:r w:rsidRPr="00D302E6">
              <w:rPr>
                <w:rFonts w:ascii="Times New Roman" w:hAnsi="Times New Roman" w:cs="Times New Roman"/>
              </w:rPr>
              <w:t xml:space="preserve"> effect.</w:t>
            </w:r>
            <w:r w:rsidR="00D37FBB" w:rsidRPr="00D302E6">
              <w:rPr>
                <w:rFonts w:ascii="Times New Roman" w:hAnsi="Times New Roman" w:cs="Times New Roman"/>
              </w:rPr>
              <w:t xml:space="preserve"> Also, one of these models used a construct valid representation (nilotinib) of the clinical scenario.</w:t>
            </w:r>
          </w:p>
        </w:tc>
      </w:tr>
      <w:tr w:rsidR="00EF5346" w:rsidRPr="00D302E6" w14:paraId="13CD43BF" w14:textId="77777777" w:rsidTr="00DB01CF">
        <w:tc>
          <w:tcPr>
            <w:tcW w:w="9350" w:type="dxa"/>
            <w:gridSpan w:val="2"/>
            <w:shd w:val="clear" w:color="auto" w:fill="ADADAD" w:themeFill="background2" w:themeFillShade="BF"/>
          </w:tcPr>
          <w:p w14:paraId="29BEB25C" w14:textId="77777777" w:rsidR="00EF5346" w:rsidRPr="00D302E6" w:rsidRDefault="00EF5346" w:rsidP="00DB01CF">
            <w:pPr>
              <w:rPr>
                <w:rFonts w:ascii="Times New Roman" w:hAnsi="Times New Roman" w:cs="Times New Roman"/>
                <w:b/>
                <w:bCs/>
                <w:sz w:val="36"/>
                <w:szCs w:val="36"/>
              </w:rPr>
            </w:pPr>
            <w:r w:rsidRPr="00D302E6">
              <w:rPr>
                <w:rFonts w:ascii="Times New Roman" w:hAnsi="Times New Roman" w:cs="Times New Roman"/>
                <w:b/>
                <w:bCs/>
                <w:sz w:val="36"/>
                <w:szCs w:val="36"/>
              </w:rPr>
              <w:t>Evidence of Clinical Effect</w:t>
            </w:r>
          </w:p>
        </w:tc>
      </w:tr>
      <w:tr w:rsidR="00EF5346" w:rsidRPr="00D302E6" w14:paraId="331F255E" w14:textId="77777777" w:rsidTr="00DB01CF">
        <w:tc>
          <w:tcPr>
            <w:tcW w:w="9350" w:type="dxa"/>
            <w:gridSpan w:val="2"/>
            <w:shd w:val="clear" w:color="auto" w:fill="C1F0C7" w:themeFill="accent3" w:themeFillTint="33"/>
          </w:tcPr>
          <w:p w14:paraId="44ACC570"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7. How strong is the evidence that the target physiological effect in humans produces the desired clinical effect</w:t>
            </w:r>
          </w:p>
        </w:tc>
      </w:tr>
      <w:tr w:rsidR="00EF5346" w:rsidRPr="00D302E6" w14:paraId="0B45CF31" w14:textId="77777777" w:rsidTr="00DB01CF">
        <w:tc>
          <w:tcPr>
            <w:tcW w:w="9350" w:type="dxa"/>
            <w:gridSpan w:val="2"/>
            <w:shd w:val="clear" w:color="auto" w:fill="C1F0C7" w:themeFill="accent3" w:themeFillTint="33"/>
          </w:tcPr>
          <w:p w14:paraId="06A2923A" w14:textId="77777777" w:rsidR="00380661" w:rsidRPr="00D302E6" w:rsidRDefault="00380661" w:rsidP="00380661">
            <w:pPr>
              <w:pStyle w:val="NormalWeb"/>
            </w:pPr>
            <w:r w:rsidRPr="00D302E6">
              <w:t xml:space="preserve">To date, the safety and tolerability of nilotinib in PD and Dementia with Lewy Bodies (DLB) population have only been studied in a single small open label clinical study </w:t>
            </w:r>
            <w:r w:rsidRPr="00D302E6">
              <w:rPr>
                <w:position w:val="10"/>
                <w:sz w:val="16"/>
                <w:szCs w:val="16"/>
              </w:rPr>
              <w:t>9</w:t>
            </w:r>
            <w:r w:rsidRPr="00D302E6">
              <w:t xml:space="preserve">. The primary objective of the study was safety and tolerability with the secondary objectives of target engagement and pharmacokinetics (PK) and exploratory clinical outcomes. The study recruited 12 participants with advanced PD, PD dementia (PDD) and Lewy body dementia who were randomized to nilotinib 150mg versus 300mg once daily in an open label fashion and were followed for 6 months. </w:t>
            </w:r>
          </w:p>
          <w:p w14:paraId="25D07D29" w14:textId="77777777" w:rsidR="00380661" w:rsidRPr="00D302E6" w:rsidRDefault="00380661" w:rsidP="00380661">
            <w:pPr>
              <w:pStyle w:val="NormalWeb"/>
            </w:pPr>
            <w:r w:rsidRPr="00D302E6">
              <w:t xml:space="preserve">Thirty patients were screened and twelve late stage (Hoehn and Yahr 3-5) PD, PDD or DLB participants were randomized into 150mg (N=5) or 300mg (N=7) groups and received oral daily doses of nilotinib for 24 weeks with 3 months follow up. Eighteen patients failed screening due to cardiovascular disease, infarcts, corrected QT (QTc) interval &gt;450ms or excluded medications (i.e. warfarin). One participant was withdrawn from the study due to serious adverse events (SAEs) and another discontinued at 5 months due to increased caregiver burden. Ten participants completed the 24-week study and returned for a follow up visit (week 36). One participant did not follow up at week 36. </w:t>
            </w:r>
          </w:p>
          <w:p w14:paraId="4A5E4950" w14:textId="77777777" w:rsidR="00380661" w:rsidRPr="00D302E6" w:rsidRDefault="00380661" w:rsidP="00380661">
            <w:pPr>
              <w:pStyle w:val="NormalWeb"/>
            </w:pPr>
            <w:r w:rsidRPr="00D302E6">
              <w:t xml:space="preserve">Clinical outcomes included Unified Parkinson’s Disease Rating Scale (UPDRS) and Mini Mental Status Exams (MMSE). Motor symptoms were monitored with UPDRS. The UPDRS </w:t>
            </w:r>
            <w:r w:rsidRPr="00D302E6">
              <w:lastRenderedPageBreak/>
              <w:t xml:space="preserve">scores were obtained at 1-4 hours after dosing with nilotinib. An average decrease of 3.4 points and 3.6 points in UPDRS-III (motor) was observed at six months (week 24) compared to baseline with 150mg and 300mg nilotinib, respectively. These effects were reversed at 36-week follow up visit. An average decrease of 7 points and 11.1 points in UPRDS I-IV was also observed at 6 months in the 150mg and 300mg groups, respectively. The change in UPDRS was progressive throughout the 6 months (24 weeks) </w:t>
            </w:r>
            <w:proofErr w:type="gramStart"/>
            <w:r w:rsidRPr="00D302E6">
              <w:t>trial, and</w:t>
            </w:r>
            <w:proofErr w:type="gramEnd"/>
            <w:r w:rsidRPr="00D302E6">
              <w:t xml:space="preserve"> was reversed in participants in the follow up visit at 36 weeks. Most participants experienced increased psychotic symptoms (hallucination, paranoia, agitation, etc.) and some dyskinesia. </w:t>
            </w:r>
          </w:p>
          <w:p w14:paraId="1E2F5D7A" w14:textId="77777777" w:rsidR="00380661" w:rsidRPr="00D302E6" w:rsidRDefault="00380661" w:rsidP="00380661">
            <w:pPr>
              <w:pStyle w:val="NormalWeb"/>
            </w:pPr>
            <w:r w:rsidRPr="00D302E6">
              <w:t xml:space="preserve">Cognitive performance was monitored with MMSE throughout all visits. An average increase of 3.85 and 3.5 points in MMSE was observed at six months (24 weeks) compared to baseline with 150mg and 300mg nilotinib, respectively. The increase in MMSE scores was incremental throughout the 24-week </w:t>
            </w:r>
            <w:proofErr w:type="gramStart"/>
            <w:r w:rsidRPr="00D302E6">
              <w:t>treatment, and</w:t>
            </w:r>
            <w:proofErr w:type="gramEnd"/>
            <w:r w:rsidRPr="00D302E6">
              <w:t xml:space="preserve"> returned to baseline at the 36-week follow up visit. The Scales for Outcomes in Parkinson’s Disease-Cognition (SCOPA-Cog) test also showed an average increase of 1.85 and 2 points at six months compared to baseline with 150mg and 300mg nilotinib, respectively. </w:t>
            </w:r>
          </w:p>
          <w:p w14:paraId="7B4B1A88" w14:textId="77777777" w:rsidR="00EF5346" w:rsidRPr="00D302E6" w:rsidRDefault="00EF5346" w:rsidP="00DB01CF">
            <w:pPr>
              <w:rPr>
                <w:rFonts w:ascii="Times New Roman" w:hAnsi="Times New Roman" w:cs="Times New Roman"/>
                <w:b/>
                <w:bCs/>
              </w:rPr>
            </w:pPr>
          </w:p>
        </w:tc>
      </w:tr>
      <w:tr w:rsidR="00EF5346" w:rsidRPr="00D302E6" w14:paraId="24536604" w14:textId="77777777" w:rsidTr="00DB01CF">
        <w:tc>
          <w:tcPr>
            <w:tcW w:w="4675" w:type="dxa"/>
          </w:tcPr>
          <w:p w14:paraId="6CA493E8" w14:textId="77777777" w:rsidR="00D302E6" w:rsidRDefault="00D302E6" w:rsidP="00350A79">
            <w:pPr>
              <w:pStyle w:val="ListParagraph"/>
              <w:rPr>
                <w:rFonts w:ascii="Times New Roman" w:hAnsi="Times New Roman" w:cs="Times New Roman"/>
                <w:color w:val="FFFFFF" w:themeColor="background1"/>
                <w:shd w:val="clear" w:color="auto" w:fill="C00000"/>
              </w:rPr>
            </w:pPr>
          </w:p>
          <w:p w14:paraId="6229B02C" w14:textId="2162F6D9" w:rsidR="00EF5346" w:rsidRPr="00D302E6" w:rsidRDefault="00D37FBB" w:rsidP="00350A79">
            <w:pPr>
              <w:pStyle w:val="ListParagraph"/>
              <w:rPr>
                <w:rFonts w:ascii="Times New Roman" w:hAnsi="Times New Roman" w:cs="Times New Roman"/>
                <w:color w:val="FFFFFF" w:themeColor="background1"/>
              </w:rPr>
            </w:pPr>
            <w:r w:rsidRPr="00D302E6">
              <w:rPr>
                <w:rFonts w:ascii="Times New Roman" w:hAnsi="Times New Roman" w:cs="Times New Roman"/>
                <w:color w:val="FFFFFF" w:themeColor="background1"/>
                <w:shd w:val="clear" w:color="auto" w:fill="C00000"/>
              </w:rPr>
              <w:t>WEAK</w:t>
            </w:r>
          </w:p>
          <w:p w14:paraId="745867AA" w14:textId="061B4548" w:rsidR="00EF5346" w:rsidRPr="00D302E6" w:rsidRDefault="00EF5346" w:rsidP="00350A79">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2FC8ABE4"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48D5193B" w14:textId="2A9D627B" w:rsidR="00350A79" w:rsidRPr="00D302E6" w:rsidRDefault="00350A79" w:rsidP="00DB01CF">
            <w:pPr>
              <w:rPr>
                <w:rFonts w:ascii="Times New Roman" w:hAnsi="Times New Roman" w:cs="Times New Roman"/>
              </w:rPr>
            </w:pPr>
            <w:r w:rsidRPr="00D302E6">
              <w:rPr>
                <w:rFonts w:ascii="Times New Roman" w:hAnsi="Times New Roman" w:cs="Times New Roman"/>
              </w:rPr>
              <w:t>• Though there is some clinical evidence</w:t>
            </w:r>
            <w:r w:rsidR="00781BCC" w:rsidRPr="00D302E6">
              <w:rPr>
                <w:rFonts w:ascii="Times New Roman" w:hAnsi="Times New Roman" w:cs="Times New Roman"/>
              </w:rPr>
              <w:t xml:space="preserve"> of nilotinib in patients</w:t>
            </w:r>
            <w:r w:rsidRPr="00D302E6">
              <w:rPr>
                <w:rFonts w:ascii="Times New Roman" w:hAnsi="Times New Roman" w:cs="Times New Roman"/>
              </w:rPr>
              <w:t>, the fact that the study is small, open label (for a condition that is highly responsive to placebo effects) means that these purported clinical effects should be taken with a grain of salt.</w:t>
            </w:r>
          </w:p>
          <w:p w14:paraId="7E8DE33C" w14:textId="7FEA9BD9" w:rsidR="00D513E3" w:rsidRPr="00D302E6" w:rsidRDefault="00D513E3" w:rsidP="00DB01CF">
            <w:pPr>
              <w:rPr>
                <w:rFonts w:ascii="Times New Roman" w:hAnsi="Times New Roman" w:cs="Times New Roman"/>
              </w:rPr>
            </w:pPr>
          </w:p>
        </w:tc>
      </w:tr>
      <w:tr w:rsidR="00EF5346" w:rsidRPr="00D302E6" w14:paraId="1CBC8F9D" w14:textId="77777777" w:rsidTr="00DB01CF">
        <w:tc>
          <w:tcPr>
            <w:tcW w:w="9350" w:type="dxa"/>
            <w:gridSpan w:val="2"/>
            <w:shd w:val="clear" w:color="auto" w:fill="F2CEED" w:themeFill="accent5" w:themeFillTint="33"/>
          </w:tcPr>
          <w:p w14:paraId="2E7D6C9D"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8. How strong is the evidence that the target physiological effect in the model system produces the desired clinical effect in the model system?</w:t>
            </w:r>
          </w:p>
        </w:tc>
      </w:tr>
      <w:tr w:rsidR="00EF5346" w:rsidRPr="00D302E6" w14:paraId="12D9C1B0" w14:textId="77777777" w:rsidTr="00DB01CF">
        <w:tc>
          <w:tcPr>
            <w:tcW w:w="9350" w:type="dxa"/>
            <w:gridSpan w:val="2"/>
            <w:shd w:val="clear" w:color="auto" w:fill="F2CEED" w:themeFill="accent5" w:themeFillTint="33"/>
          </w:tcPr>
          <w:p w14:paraId="400B76CF" w14:textId="30312260" w:rsidR="00EF5346" w:rsidRPr="00D302E6" w:rsidRDefault="00B02656" w:rsidP="00DB01CF">
            <w:pPr>
              <w:rPr>
                <w:rFonts w:ascii="Times New Roman" w:hAnsi="Times New Roman" w:cs="Times New Roman"/>
                <w:b/>
                <w:bCs/>
              </w:rPr>
            </w:pPr>
            <w:r w:rsidRPr="00D302E6">
              <w:rPr>
                <w:rFonts w:ascii="Times New Roman" w:hAnsi="Times New Roman" w:cs="Times New Roman"/>
              </w:rPr>
              <w:t xml:space="preserve">“Using mouse genetic </w:t>
            </w:r>
            <w:proofErr w:type="gramStart"/>
            <w:r w:rsidRPr="00D302E6">
              <w:rPr>
                <w:rFonts w:ascii="Times New Roman" w:hAnsi="Times New Roman" w:cs="Times New Roman"/>
              </w:rPr>
              <w:t>models</w:t>
            </w:r>
            <w:proofErr w:type="gramEnd"/>
            <w:r w:rsidRPr="00D302E6">
              <w:rPr>
                <w:rFonts w:ascii="Times New Roman" w:hAnsi="Times New Roman" w:cs="Times New Roman"/>
              </w:rPr>
              <w:t xml:space="preserve"> they demonstrated that deletion of the gene encoding c-Abl reduced… neurobehavioral deficits whereas overexpression of the constitutively active c-Abl accelerated… neurobehavioral deficits”</w:t>
            </w:r>
          </w:p>
        </w:tc>
      </w:tr>
      <w:tr w:rsidR="00EF5346" w:rsidRPr="00D302E6" w14:paraId="53FE7C56" w14:textId="77777777" w:rsidTr="00DB01CF">
        <w:tc>
          <w:tcPr>
            <w:tcW w:w="4675" w:type="dxa"/>
          </w:tcPr>
          <w:p w14:paraId="08DE45F1" w14:textId="00CB2A83" w:rsidR="00EF5346" w:rsidRPr="00D302E6" w:rsidRDefault="00EF5346" w:rsidP="00DB01CF">
            <w:pPr>
              <w:rPr>
                <w:rFonts w:ascii="Times New Roman" w:hAnsi="Times New Roman" w:cs="Times New Roman"/>
              </w:rPr>
            </w:pPr>
            <w:r w:rsidRPr="00D302E6">
              <w:rPr>
                <w:rFonts w:ascii="Times New Roman" w:hAnsi="Times New Roman" w:cs="Times New Roman"/>
              </w:rPr>
              <w:br/>
            </w:r>
          </w:p>
          <w:p w14:paraId="70399942" w14:textId="7FC28B5B" w:rsidR="00EF5346" w:rsidRPr="00D302E6" w:rsidRDefault="00105194" w:rsidP="000A5479">
            <w:pPr>
              <w:pStyle w:val="ListParagraph"/>
              <w:rPr>
                <w:rFonts w:ascii="Times New Roman" w:hAnsi="Times New Roman" w:cs="Times New Roman"/>
                <w:color w:val="FFFFFF" w:themeColor="background1"/>
              </w:rPr>
            </w:pPr>
            <w:r w:rsidRPr="00D302E6">
              <w:rPr>
                <w:rFonts w:ascii="Times New Roman" w:hAnsi="Times New Roman" w:cs="Times New Roman"/>
                <w:color w:val="FFFFFF" w:themeColor="background1"/>
                <w:shd w:val="clear" w:color="auto" w:fill="C00000"/>
              </w:rPr>
              <w:t>WEAK</w:t>
            </w:r>
          </w:p>
          <w:p w14:paraId="6CB96DF0" w14:textId="79FE492F" w:rsidR="00EF5346" w:rsidRPr="00D302E6" w:rsidRDefault="00EF5346" w:rsidP="000A5479">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4F072A07"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5E1584E7" w14:textId="102BBAA5" w:rsidR="000A5479" w:rsidRPr="00D302E6" w:rsidRDefault="000A5479" w:rsidP="00DB01CF">
            <w:pPr>
              <w:rPr>
                <w:rFonts w:ascii="Times New Roman" w:hAnsi="Times New Roman" w:cs="Times New Roman"/>
              </w:rPr>
            </w:pPr>
            <w:r w:rsidRPr="00D302E6">
              <w:rPr>
                <w:rFonts w:ascii="Times New Roman" w:hAnsi="Times New Roman" w:cs="Times New Roman"/>
              </w:rPr>
              <w:t xml:space="preserve">• Appears that researchers have validated behavioral effects in two different </w:t>
            </w:r>
            <w:r w:rsidR="00D302E6">
              <w:rPr>
                <w:rFonts w:ascii="Times New Roman" w:hAnsi="Times New Roman" w:cs="Times New Roman"/>
              </w:rPr>
              <w:t>paradigms- (probably not independent of previous studies mentioned)</w:t>
            </w:r>
            <w:r w:rsidRPr="00D302E6">
              <w:rPr>
                <w:rFonts w:ascii="Times New Roman" w:hAnsi="Times New Roman" w:cs="Times New Roman"/>
              </w:rPr>
              <w:t>. But…</w:t>
            </w:r>
          </w:p>
          <w:p w14:paraId="20BB7EDC" w14:textId="18FD7402" w:rsidR="000A5479" w:rsidRPr="00D302E6" w:rsidRDefault="000A5479" w:rsidP="00DB01CF">
            <w:pPr>
              <w:rPr>
                <w:rFonts w:ascii="Times New Roman" w:hAnsi="Times New Roman" w:cs="Times New Roman"/>
              </w:rPr>
            </w:pPr>
            <w:r w:rsidRPr="00D302E6">
              <w:rPr>
                <w:rFonts w:ascii="Times New Roman" w:hAnsi="Times New Roman" w:cs="Times New Roman"/>
              </w:rPr>
              <w:t xml:space="preserve">• </w:t>
            </w:r>
            <w:r w:rsidR="00D302E6" w:rsidRPr="00D302E6">
              <w:rPr>
                <w:rFonts w:ascii="Times New Roman" w:hAnsi="Times New Roman" w:cs="Times New Roman"/>
              </w:rPr>
              <w:t>Unfortunately,</w:t>
            </w:r>
            <w:r w:rsidRPr="00D302E6">
              <w:rPr>
                <w:rFonts w:ascii="Times New Roman" w:hAnsi="Times New Roman" w:cs="Times New Roman"/>
              </w:rPr>
              <w:t xml:space="preserve"> there is no information about sample sizes, magnitude of effects, risk of bias, or replication</w:t>
            </w:r>
            <w:r w:rsidR="00D61D41" w:rsidRPr="00D302E6">
              <w:rPr>
                <w:rFonts w:ascii="Times New Roman" w:hAnsi="Times New Roman" w:cs="Times New Roman"/>
              </w:rPr>
              <w:t>, making judgments about the strength uncertain.</w:t>
            </w:r>
            <w:r w:rsidRPr="00D302E6">
              <w:rPr>
                <w:rFonts w:ascii="Times New Roman" w:hAnsi="Times New Roman" w:cs="Times New Roman"/>
              </w:rPr>
              <w:t xml:space="preserve"> </w:t>
            </w:r>
          </w:p>
        </w:tc>
      </w:tr>
      <w:tr w:rsidR="00EF5346" w:rsidRPr="00D302E6" w14:paraId="1F964800" w14:textId="77777777" w:rsidTr="00DB01CF">
        <w:tc>
          <w:tcPr>
            <w:tcW w:w="9350" w:type="dxa"/>
            <w:gridSpan w:val="2"/>
            <w:shd w:val="clear" w:color="auto" w:fill="C1E4F5" w:themeFill="accent1" w:themeFillTint="33"/>
          </w:tcPr>
          <w:p w14:paraId="64F4D4D8"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9. How strong are grounds for believing that clinical outcomes in model systems predict clinical outcomes in the target scenario?</w:t>
            </w:r>
          </w:p>
        </w:tc>
      </w:tr>
      <w:tr w:rsidR="00EF5346" w:rsidRPr="00D302E6" w14:paraId="63D7295D" w14:textId="77777777" w:rsidTr="00DB01CF">
        <w:tc>
          <w:tcPr>
            <w:tcW w:w="9350" w:type="dxa"/>
            <w:gridSpan w:val="2"/>
            <w:shd w:val="clear" w:color="auto" w:fill="C1E4F5" w:themeFill="accent1" w:themeFillTint="33"/>
          </w:tcPr>
          <w:p w14:paraId="54DE00F2" w14:textId="77777777" w:rsidR="00EF5346" w:rsidRPr="00D302E6" w:rsidRDefault="00EF5346" w:rsidP="00DB01CF">
            <w:pPr>
              <w:rPr>
                <w:rFonts w:ascii="Times New Roman" w:hAnsi="Times New Roman" w:cs="Times New Roman"/>
                <w:b/>
                <w:bCs/>
              </w:rPr>
            </w:pPr>
          </w:p>
        </w:tc>
      </w:tr>
      <w:tr w:rsidR="00EF5346" w:rsidRPr="00D302E6" w14:paraId="59ECE0E4" w14:textId="77777777" w:rsidTr="00DB01CF">
        <w:tc>
          <w:tcPr>
            <w:tcW w:w="4675" w:type="dxa"/>
          </w:tcPr>
          <w:p w14:paraId="6354E032" w14:textId="4E58385C" w:rsidR="00EF5346" w:rsidRPr="00D302E6" w:rsidRDefault="00EF5346" w:rsidP="00DB01CF">
            <w:pPr>
              <w:rPr>
                <w:rFonts w:ascii="Times New Roman" w:hAnsi="Times New Roman" w:cs="Times New Roman"/>
              </w:rPr>
            </w:pPr>
            <w:r w:rsidRPr="00D302E6">
              <w:rPr>
                <w:rFonts w:ascii="Times New Roman" w:hAnsi="Times New Roman" w:cs="Times New Roman"/>
              </w:rPr>
              <w:br/>
            </w:r>
          </w:p>
          <w:p w14:paraId="7FA291C1" w14:textId="5FDCDDDC" w:rsidR="00EF5346" w:rsidRPr="00D302E6" w:rsidRDefault="00105194" w:rsidP="00D61D41">
            <w:pPr>
              <w:pStyle w:val="ListParagraph"/>
              <w:rPr>
                <w:rFonts w:ascii="Times New Roman" w:hAnsi="Times New Roman" w:cs="Times New Roman"/>
              </w:rPr>
            </w:pPr>
            <w:r w:rsidRPr="00D302E6">
              <w:rPr>
                <w:rFonts w:ascii="Times New Roman" w:hAnsi="Times New Roman" w:cs="Times New Roman"/>
                <w:shd w:val="clear" w:color="auto" w:fill="C00000"/>
              </w:rPr>
              <w:lastRenderedPageBreak/>
              <w:t>WEAK</w:t>
            </w:r>
          </w:p>
          <w:p w14:paraId="1ABE938C" w14:textId="55A65DC2" w:rsidR="00EF5346" w:rsidRPr="00D302E6" w:rsidRDefault="00EF5346" w:rsidP="00D61D41">
            <w:pPr>
              <w:pStyle w:val="ListParagraph"/>
              <w:rPr>
                <w:rFonts w:ascii="Times New Roman" w:hAnsi="Times New Roman" w:cs="Times New Roman"/>
                <w:b/>
                <w:bCs/>
              </w:rPr>
            </w:pPr>
            <w:r w:rsidRPr="00D302E6">
              <w:rPr>
                <w:rFonts w:ascii="Times New Roman" w:hAnsi="Times New Roman" w:cs="Times New Roman"/>
              </w:rPr>
              <w:br/>
            </w:r>
          </w:p>
        </w:tc>
        <w:tc>
          <w:tcPr>
            <w:tcW w:w="4675" w:type="dxa"/>
          </w:tcPr>
          <w:p w14:paraId="2D470643"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lastRenderedPageBreak/>
              <w:t>Justification/Notes:</w:t>
            </w:r>
          </w:p>
          <w:p w14:paraId="1C2F340F" w14:textId="2DA2AD6B" w:rsidR="00D61D41" w:rsidRPr="00D302E6" w:rsidRDefault="00D61D41" w:rsidP="00DB01CF">
            <w:pPr>
              <w:rPr>
                <w:rFonts w:ascii="Times New Roman" w:hAnsi="Times New Roman" w:cs="Times New Roman"/>
              </w:rPr>
            </w:pPr>
            <w:r w:rsidRPr="00D302E6">
              <w:rPr>
                <w:rFonts w:ascii="Times New Roman" w:hAnsi="Times New Roman" w:cs="Times New Roman"/>
              </w:rPr>
              <w:lastRenderedPageBreak/>
              <w:t>• Although neurobehavioral response in mice might very well be a good representation of clinical response for patients, it</w:t>
            </w:r>
            <w:r w:rsidR="008D68BA" w:rsidRPr="00D302E6">
              <w:rPr>
                <w:rFonts w:ascii="Times New Roman" w:hAnsi="Times New Roman" w:cs="Times New Roman"/>
              </w:rPr>
              <w:t>’</w:t>
            </w:r>
            <w:r w:rsidRPr="00D302E6">
              <w:rPr>
                <w:rFonts w:ascii="Times New Roman" w:hAnsi="Times New Roman" w:cs="Times New Roman"/>
              </w:rPr>
              <w:t>s unclear whether models used adequately represent the stage of illness for patients in the trial, and anyway, effects in models are uncertain (see above).</w:t>
            </w:r>
          </w:p>
        </w:tc>
      </w:tr>
      <w:tr w:rsidR="00EF5346" w:rsidRPr="00D302E6" w14:paraId="11DE496B" w14:textId="77777777" w:rsidTr="00DB01CF">
        <w:tc>
          <w:tcPr>
            <w:tcW w:w="9350" w:type="dxa"/>
            <w:gridSpan w:val="2"/>
            <w:shd w:val="clear" w:color="auto" w:fill="FFC000"/>
          </w:tcPr>
          <w:p w14:paraId="6F7C6291" w14:textId="77777777" w:rsidR="00EF5346" w:rsidRPr="00D302E6" w:rsidRDefault="00EF5346" w:rsidP="00DB01CF">
            <w:pPr>
              <w:rPr>
                <w:rFonts w:ascii="Times New Roman" w:hAnsi="Times New Roman" w:cs="Times New Roman"/>
                <w:b/>
                <w:bCs/>
              </w:rPr>
            </w:pPr>
            <w:r w:rsidRPr="00D302E6">
              <w:rPr>
                <w:rFonts w:ascii="Times New Roman" w:hAnsi="Times New Roman" w:cs="Times New Roman"/>
                <w:b/>
                <w:bCs/>
              </w:rPr>
              <w:t>10. Is there an adequately supported pathway from delivery of the drug to intended clinical effects in patients?</w:t>
            </w:r>
          </w:p>
        </w:tc>
      </w:tr>
      <w:tr w:rsidR="00EF5346" w:rsidRPr="00D302E6" w14:paraId="69E727CC" w14:textId="77777777" w:rsidTr="00DB01CF">
        <w:tc>
          <w:tcPr>
            <w:tcW w:w="9350" w:type="dxa"/>
            <w:gridSpan w:val="2"/>
            <w:shd w:val="clear" w:color="auto" w:fill="FFC000"/>
          </w:tcPr>
          <w:p w14:paraId="47538376" w14:textId="77777777" w:rsidR="00EF5346" w:rsidRPr="00D302E6" w:rsidRDefault="00EF5346" w:rsidP="00DB01CF">
            <w:pPr>
              <w:rPr>
                <w:rFonts w:ascii="Times New Roman" w:hAnsi="Times New Roman" w:cs="Times New Roman"/>
                <w:b/>
                <w:bCs/>
              </w:rPr>
            </w:pPr>
          </w:p>
        </w:tc>
      </w:tr>
      <w:tr w:rsidR="00EF5346" w:rsidRPr="00D302E6" w14:paraId="0A8039A2" w14:textId="77777777" w:rsidTr="00DB01CF">
        <w:tc>
          <w:tcPr>
            <w:tcW w:w="4675" w:type="dxa"/>
          </w:tcPr>
          <w:p w14:paraId="17B34133" w14:textId="2976EDC7" w:rsidR="00EF5346" w:rsidRPr="00D302E6" w:rsidRDefault="00EF5346" w:rsidP="00DB01CF">
            <w:pPr>
              <w:rPr>
                <w:rFonts w:ascii="Times New Roman" w:hAnsi="Times New Roman" w:cs="Times New Roman"/>
              </w:rPr>
            </w:pPr>
            <w:r w:rsidRPr="00D302E6">
              <w:rPr>
                <w:rFonts w:ascii="Times New Roman" w:hAnsi="Times New Roman" w:cs="Times New Roman"/>
              </w:rPr>
              <w:br/>
            </w:r>
          </w:p>
          <w:p w14:paraId="52D90543" w14:textId="2A0F43C4" w:rsidR="00EF5346" w:rsidRPr="00D302E6" w:rsidRDefault="00105194" w:rsidP="00105194">
            <w:pPr>
              <w:pStyle w:val="ListParagraph"/>
              <w:rPr>
                <w:rFonts w:ascii="Times New Roman" w:hAnsi="Times New Roman" w:cs="Times New Roman"/>
              </w:rPr>
            </w:pPr>
            <w:r w:rsidRPr="00D302E6">
              <w:rPr>
                <w:rFonts w:ascii="Times New Roman" w:hAnsi="Times New Roman" w:cs="Times New Roman"/>
                <w:shd w:val="clear" w:color="auto" w:fill="47D459" w:themeFill="accent3" w:themeFillTint="99"/>
              </w:rPr>
              <w:t>YES</w:t>
            </w:r>
          </w:p>
          <w:p w14:paraId="597D69EF" w14:textId="77777777" w:rsidR="00EF5346" w:rsidRPr="00D302E6" w:rsidRDefault="00EF5346" w:rsidP="00DB01CF">
            <w:pPr>
              <w:pStyle w:val="ListParagraph"/>
              <w:rPr>
                <w:rFonts w:ascii="Times New Roman" w:hAnsi="Times New Roman" w:cs="Times New Roman"/>
                <w:shd w:val="clear" w:color="auto" w:fill="C00000"/>
              </w:rPr>
            </w:pPr>
          </w:p>
          <w:p w14:paraId="3B55C89F"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br/>
            </w:r>
          </w:p>
        </w:tc>
        <w:tc>
          <w:tcPr>
            <w:tcW w:w="4675" w:type="dxa"/>
          </w:tcPr>
          <w:p w14:paraId="040EB607" w14:textId="77777777" w:rsidR="00EF5346" w:rsidRPr="00D302E6" w:rsidRDefault="00EF5346" w:rsidP="00DB01CF">
            <w:pPr>
              <w:rPr>
                <w:rFonts w:ascii="Times New Roman" w:hAnsi="Times New Roman" w:cs="Times New Roman"/>
              </w:rPr>
            </w:pPr>
            <w:r w:rsidRPr="00D302E6">
              <w:rPr>
                <w:rFonts w:ascii="Times New Roman" w:hAnsi="Times New Roman" w:cs="Times New Roman"/>
              </w:rPr>
              <w:t>Justification/Notes:</w:t>
            </w:r>
          </w:p>
          <w:p w14:paraId="4EF5DD4F" w14:textId="77777777" w:rsidR="00105194" w:rsidRPr="00D302E6" w:rsidRDefault="00105194" w:rsidP="00DB01CF">
            <w:pPr>
              <w:rPr>
                <w:rFonts w:ascii="Times New Roman" w:hAnsi="Times New Roman" w:cs="Times New Roman"/>
              </w:rPr>
            </w:pPr>
          </w:p>
          <w:p w14:paraId="5920914A" w14:textId="77777777" w:rsidR="008D68BA" w:rsidRPr="00D302E6" w:rsidRDefault="00105194" w:rsidP="00DB01CF">
            <w:pPr>
              <w:rPr>
                <w:rFonts w:ascii="Times New Roman" w:hAnsi="Times New Roman" w:cs="Times New Roman"/>
              </w:rPr>
            </w:pPr>
            <w:r w:rsidRPr="00D302E6">
              <w:rPr>
                <w:rFonts w:ascii="Times New Roman" w:hAnsi="Times New Roman" w:cs="Times New Roman"/>
              </w:rPr>
              <w:t>• There are multiple lines of evidence connecting drug action to clinical responses</w:t>
            </w:r>
            <w:r w:rsidR="00E04ABF" w:rsidRPr="00D302E6">
              <w:rPr>
                <w:rFonts w:ascii="Times New Roman" w:hAnsi="Times New Roman" w:cs="Times New Roman"/>
              </w:rPr>
              <w:t xml:space="preserve">. </w:t>
            </w:r>
          </w:p>
          <w:p w14:paraId="04851968" w14:textId="62685F65" w:rsidR="00E04ABF" w:rsidRPr="00D302E6" w:rsidRDefault="008D68BA" w:rsidP="00DB01CF">
            <w:pPr>
              <w:rPr>
                <w:rFonts w:ascii="Times New Roman" w:hAnsi="Times New Roman" w:cs="Times New Roman"/>
              </w:rPr>
            </w:pPr>
            <w:r w:rsidRPr="00D302E6">
              <w:rPr>
                <w:rFonts w:ascii="Times New Roman" w:hAnsi="Times New Roman" w:cs="Times New Roman"/>
              </w:rPr>
              <w:t xml:space="preserve">• </w:t>
            </w:r>
            <w:r w:rsidR="00E04ABF" w:rsidRPr="00D302E6">
              <w:rPr>
                <w:rFonts w:ascii="Times New Roman" w:hAnsi="Times New Roman" w:cs="Times New Roman"/>
              </w:rPr>
              <w:t>For example, where is some evidence drug reaches target, causes physiological changes, and induces clinical response in the target population. However, it must be stressed that this evidence is extremely weak due to powering, open label design and lack of access to brain tissue.</w:t>
            </w:r>
          </w:p>
          <w:p w14:paraId="64FE4A96" w14:textId="0877D7F5" w:rsidR="00105194" w:rsidRPr="00D302E6" w:rsidRDefault="00E04ABF" w:rsidP="00DB01CF">
            <w:pPr>
              <w:rPr>
                <w:rFonts w:ascii="Times New Roman" w:hAnsi="Times New Roman" w:cs="Times New Roman"/>
              </w:rPr>
            </w:pPr>
            <w:r w:rsidRPr="00D302E6">
              <w:rPr>
                <w:rFonts w:ascii="Times New Roman" w:hAnsi="Times New Roman" w:cs="Times New Roman"/>
              </w:rPr>
              <w:t xml:space="preserve">• There is also evidence of (translatable) target engagement and physiological response in more than one animal model. </w:t>
            </w:r>
            <w:r w:rsidR="008D68BA" w:rsidRPr="00D302E6">
              <w:rPr>
                <w:rFonts w:ascii="Times New Roman" w:hAnsi="Times New Roman" w:cs="Times New Roman"/>
              </w:rPr>
              <w:t xml:space="preserve">Perhaps too of a (translatable) behavioral response. </w:t>
            </w:r>
            <w:r w:rsidRPr="00D302E6">
              <w:rPr>
                <w:rFonts w:ascii="Times New Roman" w:hAnsi="Times New Roman" w:cs="Times New Roman"/>
              </w:rPr>
              <w:t>However, these reports are difficult to interpret due to a lack of description of supporting studies.</w:t>
            </w:r>
            <w:r w:rsidR="00105194" w:rsidRPr="00D302E6">
              <w:rPr>
                <w:rFonts w:ascii="Times New Roman" w:hAnsi="Times New Roman" w:cs="Times New Roman"/>
              </w:rPr>
              <w:t xml:space="preserve"> </w:t>
            </w:r>
          </w:p>
        </w:tc>
      </w:tr>
    </w:tbl>
    <w:p w14:paraId="742FA6DC" w14:textId="77777777" w:rsidR="00EF5346" w:rsidRPr="00D302E6" w:rsidRDefault="00EF5346" w:rsidP="00EF5346">
      <w:pPr>
        <w:rPr>
          <w:rFonts w:ascii="Times New Roman" w:hAnsi="Times New Roman" w:cs="Times New Roman"/>
        </w:rPr>
      </w:pPr>
    </w:p>
    <w:p w14:paraId="03B521C2" w14:textId="67467C9E" w:rsidR="00A13297" w:rsidRPr="00D302E6" w:rsidRDefault="00A13297" w:rsidP="00EF5346">
      <w:pPr>
        <w:rPr>
          <w:rFonts w:ascii="Times New Roman" w:hAnsi="Times New Roman" w:cs="Times New Roman"/>
        </w:rPr>
      </w:pPr>
    </w:p>
    <w:sectPr w:rsidR="00A13297" w:rsidRPr="00D302E6" w:rsidSect="00273192">
      <w:headerReference w:type="default" r:id="rId7"/>
      <w:footerReference w:type="even" r:id="rId8"/>
      <w:footerReference w:type="default" r:id="rId9"/>
      <w:headerReference w:type="firs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9C0F" w14:textId="77777777" w:rsidR="00315CEF" w:rsidRDefault="00315CEF" w:rsidP="0044702E">
      <w:r>
        <w:separator/>
      </w:r>
    </w:p>
  </w:endnote>
  <w:endnote w:type="continuationSeparator" w:id="0">
    <w:p w14:paraId="029C7B84" w14:textId="77777777" w:rsidR="00315CEF" w:rsidRDefault="00315CEF" w:rsidP="0044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153676"/>
      <w:docPartObj>
        <w:docPartGallery w:val="Page Numbers (Bottom of Page)"/>
        <w:docPartUnique/>
      </w:docPartObj>
    </w:sdtPr>
    <w:sdtEndPr>
      <w:rPr>
        <w:rStyle w:val="PageNumber"/>
      </w:rPr>
    </w:sdtEndPr>
    <w:sdtContent>
      <w:p w14:paraId="11FAC273" w14:textId="66F68CF8" w:rsidR="0044702E" w:rsidRDefault="0044702E" w:rsidP="00956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21CE2" w14:textId="77777777" w:rsidR="0044702E" w:rsidRDefault="0044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348660"/>
      <w:docPartObj>
        <w:docPartGallery w:val="Page Numbers (Bottom of Page)"/>
        <w:docPartUnique/>
      </w:docPartObj>
    </w:sdtPr>
    <w:sdtEndPr>
      <w:rPr>
        <w:rStyle w:val="PageNumber"/>
      </w:rPr>
    </w:sdtEndPr>
    <w:sdtContent>
      <w:p w14:paraId="40FD4E8C" w14:textId="522A1BE8" w:rsidR="0044702E" w:rsidRDefault="0044702E" w:rsidP="00956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58095BD" w14:textId="718B546C" w:rsidR="0044702E" w:rsidRDefault="00273192">
    <w:pPr>
      <w:pStyle w:val="Footer"/>
    </w:pPr>
    <w:r>
      <w:t>Ethics &amp; Human Research, Vol. 48, No.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EC0B" w14:textId="77777777" w:rsidR="00315CEF" w:rsidRDefault="00315CEF" w:rsidP="0044702E">
      <w:r>
        <w:separator/>
      </w:r>
    </w:p>
  </w:footnote>
  <w:footnote w:type="continuationSeparator" w:id="0">
    <w:p w14:paraId="22ADC8CB" w14:textId="77777777" w:rsidR="00315CEF" w:rsidRDefault="00315CEF" w:rsidP="0044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752F" w14:textId="3CF556B2" w:rsidR="00273192" w:rsidRDefault="00273192">
    <w:pPr>
      <w:pStyle w:val="Header"/>
    </w:pPr>
    <w:r>
      <w:rPr>
        <w:noProof/>
      </w:rPr>
      <w:drawing>
        <wp:inline distT="0" distB="0" distL="0" distR="0" wp14:anchorId="5331497C" wp14:editId="7863669A">
          <wp:extent cx="662940" cy="532758"/>
          <wp:effectExtent l="0" t="0" r="3810" b="1270"/>
          <wp:docPr id="51069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064" name="Picture 510691064"/>
                  <pic:cNvPicPr/>
                </pic:nvPicPr>
                <pic:blipFill>
                  <a:blip r:embed="rId1">
                    <a:extLst>
                      <a:ext uri="{28A0092B-C50C-407E-A947-70E740481C1C}">
                        <a14:useLocalDpi xmlns:a14="http://schemas.microsoft.com/office/drawing/2010/main" val="0"/>
                      </a:ext>
                    </a:extLst>
                  </a:blip>
                  <a:stretch>
                    <a:fillRect/>
                  </a:stretch>
                </pic:blipFill>
                <pic:spPr>
                  <a:xfrm>
                    <a:off x="0" y="0"/>
                    <a:ext cx="671779" cy="539861"/>
                  </a:xfrm>
                  <a:prstGeom prst="rect">
                    <a:avLst/>
                  </a:prstGeom>
                </pic:spPr>
              </pic:pic>
            </a:graphicData>
          </a:graphic>
        </wp:inline>
      </w:drawing>
    </w:r>
  </w:p>
  <w:p w14:paraId="1999E597" w14:textId="77777777" w:rsidR="00273192" w:rsidRDefault="00273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DAFE" w14:textId="5821F472" w:rsidR="00273192" w:rsidRDefault="00273192">
    <w:pPr>
      <w:pStyle w:val="Header"/>
    </w:pPr>
    <w:r>
      <w:rPr>
        <w:noProof/>
      </w:rPr>
      <w:drawing>
        <wp:inline distT="0" distB="0" distL="0" distR="0" wp14:anchorId="247D1445" wp14:editId="6D7F65FE">
          <wp:extent cx="662940" cy="532758"/>
          <wp:effectExtent l="0" t="0" r="3810" b="1270"/>
          <wp:docPr id="196453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064" name="Picture 510691064"/>
                  <pic:cNvPicPr/>
                </pic:nvPicPr>
                <pic:blipFill>
                  <a:blip r:embed="rId1">
                    <a:extLst>
                      <a:ext uri="{28A0092B-C50C-407E-A947-70E740481C1C}">
                        <a14:useLocalDpi xmlns:a14="http://schemas.microsoft.com/office/drawing/2010/main" val="0"/>
                      </a:ext>
                    </a:extLst>
                  </a:blip>
                  <a:stretch>
                    <a:fillRect/>
                  </a:stretch>
                </pic:blipFill>
                <pic:spPr>
                  <a:xfrm>
                    <a:off x="0" y="0"/>
                    <a:ext cx="671779" cy="539861"/>
                  </a:xfrm>
                  <a:prstGeom prst="rect">
                    <a:avLst/>
                  </a:prstGeom>
                </pic:spPr>
              </pic:pic>
            </a:graphicData>
          </a:graphic>
        </wp:inline>
      </w:drawing>
    </w:r>
  </w:p>
  <w:p w14:paraId="67CB70C4" w14:textId="77777777" w:rsidR="00273192" w:rsidRDefault="00273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076D"/>
    <w:multiLevelType w:val="multilevel"/>
    <w:tmpl w:val="FDAAE7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757AB5"/>
    <w:multiLevelType w:val="hybridMultilevel"/>
    <w:tmpl w:val="8A56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378032">
    <w:abstractNumId w:val="1"/>
  </w:num>
  <w:num w:numId="2" w16cid:durableId="23300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46"/>
    <w:rsid w:val="000A5479"/>
    <w:rsid w:val="000E342F"/>
    <w:rsid w:val="00105194"/>
    <w:rsid w:val="00273192"/>
    <w:rsid w:val="002C0D20"/>
    <w:rsid w:val="00315CEF"/>
    <w:rsid w:val="00350A79"/>
    <w:rsid w:val="00380661"/>
    <w:rsid w:val="0044702E"/>
    <w:rsid w:val="00473064"/>
    <w:rsid w:val="0049631C"/>
    <w:rsid w:val="00517828"/>
    <w:rsid w:val="00627405"/>
    <w:rsid w:val="00662ACC"/>
    <w:rsid w:val="00781BCC"/>
    <w:rsid w:val="00841B6B"/>
    <w:rsid w:val="0084212F"/>
    <w:rsid w:val="00873C2A"/>
    <w:rsid w:val="008D68BA"/>
    <w:rsid w:val="00920084"/>
    <w:rsid w:val="009560F8"/>
    <w:rsid w:val="00A13297"/>
    <w:rsid w:val="00A7490E"/>
    <w:rsid w:val="00B02656"/>
    <w:rsid w:val="00B21086"/>
    <w:rsid w:val="00BD6958"/>
    <w:rsid w:val="00C43CF5"/>
    <w:rsid w:val="00CD0089"/>
    <w:rsid w:val="00D302E6"/>
    <w:rsid w:val="00D37FBB"/>
    <w:rsid w:val="00D513E3"/>
    <w:rsid w:val="00D54863"/>
    <w:rsid w:val="00D61D41"/>
    <w:rsid w:val="00D909EA"/>
    <w:rsid w:val="00DC1A17"/>
    <w:rsid w:val="00E04ABF"/>
    <w:rsid w:val="00E40DCB"/>
    <w:rsid w:val="00EC14B6"/>
    <w:rsid w:val="00EF5346"/>
    <w:rsid w:val="00EF5782"/>
    <w:rsid w:val="00F90CEE"/>
    <w:rsid w:val="00FC1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B284"/>
  <w15:chartTrackingRefBased/>
  <w15:docId w15:val="{11D8C3A9-1D1E-2143-B020-35DE6F92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346"/>
    <w:pPr>
      <w:spacing w:after="0" w:line="240" w:lineRule="auto"/>
    </w:pPr>
  </w:style>
  <w:style w:type="paragraph" w:styleId="Heading1">
    <w:name w:val="heading 1"/>
    <w:basedOn w:val="Normal"/>
    <w:next w:val="Normal"/>
    <w:link w:val="Heading1Char"/>
    <w:uiPriority w:val="9"/>
    <w:qFormat/>
    <w:rsid w:val="00EF5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5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46"/>
    <w:rPr>
      <w:rFonts w:eastAsiaTheme="majorEastAsia" w:cstheme="majorBidi"/>
      <w:color w:val="272727" w:themeColor="text1" w:themeTint="D8"/>
    </w:rPr>
  </w:style>
  <w:style w:type="paragraph" w:styleId="Title">
    <w:name w:val="Title"/>
    <w:basedOn w:val="Normal"/>
    <w:next w:val="Normal"/>
    <w:link w:val="TitleChar"/>
    <w:uiPriority w:val="10"/>
    <w:qFormat/>
    <w:rsid w:val="00EF53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46"/>
    <w:pPr>
      <w:spacing w:before="160"/>
      <w:jc w:val="center"/>
    </w:pPr>
    <w:rPr>
      <w:i/>
      <w:iCs/>
      <w:color w:val="404040" w:themeColor="text1" w:themeTint="BF"/>
    </w:rPr>
  </w:style>
  <w:style w:type="character" w:customStyle="1" w:styleId="QuoteChar">
    <w:name w:val="Quote Char"/>
    <w:basedOn w:val="DefaultParagraphFont"/>
    <w:link w:val="Quote"/>
    <w:uiPriority w:val="29"/>
    <w:rsid w:val="00EF5346"/>
    <w:rPr>
      <w:i/>
      <w:iCs/>
      <w:color w:val="404040" w:themeColor="text1" w:themeTint="BF"/>
    </w:rPr>
  </w:style>
  <w:style w:type="paragraph" w:styleId="ListParagraph">
    <w:name w:val="List Paragraph"/>
    <w:basedOn w:val="Normal"/>
    <w:uiPriority w:val="34"/>
    <w:qFormat/>
    <w:rsid w:val="00EF5346"/>
    <w:pPr>
      <w:ind w:left="720"/>
      <w:contextualSpacing/>
    </w:pPr>
  </w:style>
  <w:style w:type="character" w:styleId="IntenseEmphasis">
    <w:name w:val="Intense Emphasis"/>
    <w:basedOn w:val="DefaultParagraphFont"/>
    <w:uiPriority w:val="21"/>
    <w:qFormat/>
    <w:rsid w:val="00EF5346"/>
    <w:rPr>
      <w:i/>
      <w:iCs/>
      <w:color w:val="0F4761" w:themeColor="accent1" w:themeShade="BF"/>
    </w:rPr>
  </w:style>
  <w:style w:type="paragraph" w:styleId="IntenseQuote">
    <w:name w:val="Intense Quote"/>
    <w:basedOn w:val="Normal"/>
    <w:next w:val="Normal"/>
    <w:link w:val="IntenseQuoteChar"/>
    <w:uiPriority w:val="30"/>
    <w:qFormat/>
    <w:rsid w:val="00EF5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46"/>
    <w:rPr>
      <w:i/>
      <w:iCs/>
      <w:color w:val="0F4761" w:themeColor="accent1" w:themeShade="BF"/>
    </w:rPr>
  </w:style>
  <w:style w:type="character" w:styleId="IntenseReference">
    <w:name w:val="Intense Reference"/>
    <w:basedOn w:val="DefaultParagraphFont"/>
    <w:uiPriority w:val="32"/>
    <w:qFormat/>
    <w:rsid w:val="00EF5346"/>
    <w:rPr>
      <w:b/>
      <w:bCs/>
      <w:smallCaps/>
      <w:color w:val="0F4761" w:themeColor="accent1" w:themeShade="BF"/>
      <w:spacing w:val="5"/>
    </w:rPr>
  </w:style>
  <w:style w:type="table" w:styleId="TableGrid">
    <w:name w:val="Table Grid"/>
    <w:basedOn w:val="TableNormal"/>
    <w:uiPriority w:val="39"/>
    <w:rsid w:val="00EF5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661"/>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4702E"/>
    <w:pPr>
      <w:tabs>
        <w:tab w:val="center" w:pos="4680"/>
        <w:tab w:val="right" w:pos="9360"/>
      </w:tabs>
    </w:pPr>
  </w:style>
  <w:style w:type="character" w:customStyle="1" w:styleId="FooterChar">
    <w:name w:val="Footer Char"/>
    <w:basedOn w:val="DefaultParagraphFont"/>
    <w:link w:val="Footer"/>
    <w:uiPriority w:val="99"/>
    <w:rsid w:val="0044702E"/>
  </w:style>
  <w:style w:type="character" w:styleId="PageNumber">
    <w:name w:val="page number"/>
    <w:basedOn w:val="DefaultParagraphFont"/>
    <w:uiPriority w:val="99"/>
    <w:semiHidden/>
    <w:unhideWhenUsed/>
    <w:rsid w:val="0044702E"/>
  </w:style>
  <w:style w:type="paragraph" w:styleId="Header">
    <w:name w:val="header"/>
    <w:basedOn w:val="Normal"/>
    <w:link w:val="HeaderChar"/>
    <w:uiPriority w:val="99"/>
    <w:unhideWhenUsed/>
    <w:rsid w:val="00273192"/>
    <w:pPr>
      <w:tabs>
        <w:tab w:val="center" w:pos="4680"/>
        <w:tab w:val="right" w:pos="9360"/>
      </w:tabs>
    </w:pPr>
  </w:style>
  <w:style w:type="character" w:customStyle="1" w:styleId="HeaderChar">
    <w:name w:val="Header Char"/>
    <w:basedOn w:val="DefaultParagraphFont"/>
    <w:link w:val="Header"/>
    <w:uiPriority w:val="99"/>
    <w:rsid w:val="00273192"/>
  </w:style>
  <w:style w:type="paragraph" w:styleId="NoSpacing">
    <w:name w:val="No Spacing"/>
    <w:link w:val="NoSpacingChar"/>
    <w:uiPriority w:val="1"/>
    <w:qFormat/>
    <w:rsid w:val="0027319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73192"/>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CFF1870094EAFB3FF2E44FD66E102"/>
        <w:category>
          <w:name w:val="General"/>
          <w:gallery w:val="placeholder"/>
        </w:category>
        <w:types>
          <w:type w:val="bbPlcHdr"/>
        </w:types>
        <w:behaviors>
          <w:behavior w:val="content"/>
        </w:behaviors>
        <w:guid w:val="{4418F5C7-8F2E-40C7-BBFF-2DCEB0CD2C42}"/>
      </w:docPartPr>
      <w:docPartBody>
        <w:p w:rsidR="00576D86" w:rsidRDefault="00FD45A4" w:rsidP="00FD45A4">
          <w:pPr>
            <w:pStyle w:val="729CFF1870094EAFB3FF2E44FD66E102"/>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A4"/>
    <w:rsid w:val="0049631C"/>
    <w:rsid w:val="00576D86"/>
    <w:rsid w:val="00FD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CCCCEA18C495DABA9AA5F816A104E">
    <w:name w:val="E52CCCCEA18C495DABA9AA5F816A104E"/>
    <w:rsid w:val="00FD45A4"/>
  </w:style>
  <w:style w:type="paragraph" w:customStyle="1" w:styleId="543BB39D31154654AE1C957C2CC6920E">
    <w:name w:val="543BB39D31154654AE1C957C2CC6920E"/>
    <w:rsid w:val="00FD45A4"/>
  </w:style>
  <w:style w:type="paragraph" w:customStyle="1" w:styleId="0F8135B906C74B3895CFC2987F03C5DA">
    <w:name w:val="0F8135B906C74B3895CFC2987F03C5DA"/>
    <w:rsid w:val="00FD45A4"/>
  </w:style>
  <w:style w:type="paragraph" w:customStyle="1" w:styleId="07053BCFF9674B72A36812D14690279E">
    <w:name w:val="07053BCFF9674B72A36812D14690279E"/>
    <w:rsid w:val="00FD45A4"/>
  </w:style>
  <w:style w:type="paragraph" w:customStyle="1" w:styleId="729CFF1870094EAFB3FF2E44FD66E102">
    <w:name w:val="729CFF1870094EAFB3FF2E44FD66E102"/>
    <w:rsid w:val="00FD45A4"/>
  </w:style>
  <w:style w:type="paragraph" w:customStyle="1" w:styleId="E965309F00B648C08907CC327041A59F">
    <w:name w:val="E965309F00B648C08907CC327041A59F"/>
    <w:rsid w:val="00FD45A4"/>
  </w:style>
  <w:style w:type="paragraph" w:customStyle="1" w:styleId="908863903CE64822A152D46A179EF1FF">
    <w:name w:val="908863903CE64822A152D46A179EF1FF"/>
    <w:rsid w:val="00FD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3331</Words>
  <Characters>18821</Characters>
  <Application>Microsoft Office Word</Application>
  <DocSecurity>0</DocSecurity>
  <Lines>409</Lines>
  <Paragraphs>108</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Phillips Hey, Mark Fedyk, and Jonathan Kimmelman</dc:creator>
  <cp:keywords/>
  <dc:description/>
  <cp:lastModifiedBy>Nora Porter</cp:lastModifiedBy>
  <cp:revision>5</cp:revision>
  <dcterms:created xsi:type="dcterms:W3CDTF">2026-02-24T18:35:00Z</dcterms:created>
  <dcterms:modified xsi:type="dcterms:W3CDTF">2026-04-16T18:51:00Z</dcterms:modified>
</cp:coreProperties>
</file>