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44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B5815" w:rsidRPr="004B5815" w14:paraId="04EBE137" w14:textId="77777777" w:rsidTr="004B581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3D81D61" w14:textId="5DB57C4A" w:rsidR="004B5815" w:rsidRPr="004B5815" w:rsidRDefault="00A3734F" w:rsidP="004B5815">
            <w:pP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noProof/>
                <w:color w:val="201F1E"/>
                <w:sz w:val="23"/>
                <w:szCs w:val="23"/>
              </w:rPr>
              <w:drawing>
                <wp:inline distT="0" distB="0" distL="0" distR="0" wp14:anchorId="166DFB27" wp14:editId="713C65FB">
                  <wp:extent cx="5943600" cy="805180"/>
                  <wp:effectExtent l="0" t="0" r="0" b="0"/>
                  <wp:docPr id="5" name="Picture 5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8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815" w:rsidRPr="004B5815" w14:paraId="7C7D04EE" w14:textId="77777777" w:rsidTr="004B581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00" w:type="dxa"/>
                <w:left w:w="300" w:type="dxa"/>
                <w:bottom w:w="300" w:type="dxa"/>
                <w:right w:w="300" w:type="dxa"/>
              </w:tblCellMar>
              <w:tblLook w:val="04A0" w:firstRow="1" w:lastRow="0" w:firstColumn="1" w:lastColumn="0" w:noHBand="0" w:noVBand="1"/>
            </w:tblPr>
            <w:tblGrid>
              <w:gridCol w:w="8460"/>
            </w:tblGrid>
            <w:tr w:rsidR="004B5815" w:rsidRPr="004B5815" w14:paraId="65372A3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860" w:type="dxa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30"/>
                    <w:gridCol w:w="3930"/>
                  </w:tblGrid>
                  <w:tr w:rsidR="004B5815" w:rsidRPr="004B5815" w14:paraId="657B0A96" w14:textId="77777777">
                    <w:trPr>
                      <w:tblCellSpacing w:w="7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14:paraId="682BBFB0" w14:textId="77777777" w:rsidR="004B5815" w:rsidRPr="004B5815" w:rsidRDefault="004B5815" w:rsidP="004B581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B581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bdr w:val="none" w:sz="0" w:space="0" w:color="auto" w:frame="1"/>
                          </w:rPr>
                          <w:t>PRESS RELEASE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14:paraId="7165B26E" w14:textId="0AB19ACA" w:rsidR="004B5815" w:rsidRPr="004B5815" w:rsidRDefault="004B5815" w:rsidP="004B5815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B5815">
                          <w:rPr>
                            <w:rFonts w:ascii="inherit" w:eastAsia="Times New Roman" w:hAnsi="inherit" w:cs="Arial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Contact: </w:t>
                        </w:r>
                        <w:r>
                          <w:rPr>
                            <w:rFonts w:ascii="inherit" w:eastAsia="Times New Roman" w:hAnsi="inherit" w:cs="Arial"/>
                            <w:sz w:val="20"/>
                            <w:szCs w:val="20"/>
                            <w:bdr w:val="none" w:sz="0" w:space="0" w:color="auto" w:frame="1"/>
                          </w:rPr>
                          <w:t>Susan Gilbert</w:t>
                        </w:r>
                      </w:p>
                    </w:tc>
                  </w:tr>
                  <w:tr w:rsidR="004B5815" w:rsidRPr="004B5815" w14:paraId="2496E9B2" w14:textId="77777777">
                    <w:trPr>
                      <w:tblCellSpacing w:w="7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14:paraId="3C521A99" w14:textId="77777777" w:rsidR="004B5815" w:rsidRPr="004B5815" w:rsidRDefault="004B5815" w:rsidP="004B581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B5815">
                          <w:rPr>
                            <w:rFonts w:ascii="inherit" w:eastAsia="Times New Roman" w:hAnsi="inherit" w:cs="Arial"/>
                            <w:sz w:val="20"/>
                            <w:szCs w:val="20"/>
                            <w:bdr w:val="none" w:sz="0" w:space="0" w:color="auto" w:frame="1"/>
                          </w:rPr>
                          <w:t>For Immediate Release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14:paraId="34D32DF5" w14:textId="2303D7ED" w:rsidR="004B5815" w:rsidRPr="004B5815" w:rsidRDefault="004B5815" w:rsidP="004B5815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B5815">
                          <w:rPr>
                            <w:rFonts w:ascii="inherit" w:eastAsia="Times New Roman" w:hAnsi="inherit" w:cs="Arial"/>
                            <w:sz w:val="20"/>
                            <w:szCs w:val="20"/>
                            <w:bdr w:val="none" w:sz="0" w:space="0" w:color="auto" w:frame="1"/>
                          </w:rPr>
                          <w:t>1-845-424-4040, ext. 2</w:t>
                        </w:r>
                        <w:r>
                          <w:rPr>
                            <w:rFonts w:ascii="inherit" w:eastAsia="Times New Roman" w:hAnsi="inherit" w:cs="Arial"/>
                            <w:sz w:val="20"/>
                            <w:szCs w:val="20"/>
                            <w:bdr w:val="none" w:sz="0" w:space="0" w:color="auto" w:frame="1"/>
                          </w:rPr>
                          <w:t>44</w:t>
                        </w:r>
                      </w:p>
                    </w:tc>
                  </w:tr>
                  <w:tr w:rsidR="004B5815" w:rsidRPr="00C543B6" w14:paraId="4A3FEC6A" w14:textId="77777777">
                    <w:trPr>
                      <w:tblCellSpacing w:w="7" w:type="dxa"/>
                    </w:trPr>
                    <w:tc>
                      <w:tcPr>
                        <w:tcW w:w="2500" w:type="pct"/>
                        <w:vAlign w:val="center"/>
                        <w:hideMark/>
                      </w:tcPr>
                      <w:p w14:paraId="4C901566" w14:textId="77777777" w:rsidR="004B5815" w:rsidRPr="004B5815" w:rsidRDefault="004B5815" w:rsidP="004B581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B581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14:paraId="4E91CBB0" w14:textId="6B6794F7" w:rsidR="004B5815" w:rsidRPr="00330DA3" w:rsidRDefault="00B744CA" w:rsidP="004B5815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hyperlink r:id="rId6" w:history="1">
                          <w:r w:rsidR="004B5815" w:rsidRPr="00330DA3">
                            <w:rPr>
                              <w:rStyle w:val="Hyperlink"/>
                              <w:rFonts w:ascii="inherit" w:eastAsia="Times New Roman" w:hAnsi="inherit" w:cs="Times New Roman"/>
                              <w:sz w:val="20"/>
                              <w:szCs w:val="20"/>
                              <w:bdr w:val="none" w:sz="0" w:space="0" w:color="auto" w:frame="1"/>
                            </w:rPr>
                            <w:t>communications@thehastingscenter.org</w:t>
                          </w:r>
                        </w:hyperlink>
                      </w:p>
                    </w:tc>
                  </w:tr>
                  <w:tr w:rsidR="004B5815" w:rsidRPr="004B5815" w14:paraId="48D08C29" w14:textId="77777777">
                    <w:trPr>
                      <w:trHeight w:val="450"/>
                      <w:tblCellSpacing w:w="7" w:type="dxa"/>
                    </w:trPr>
                    <w:tc>
                      <w:tcPr>
                        <w:tcW w:w="2500" w:type="pct"/>
                        <w:gridSpan w:val="2"/>
                        <w:vAlign w:val="center"/>
                        <w:hideMark/>
                      </w:tcPr>
                      <w:p w14:paraId="115D714F" w14:textId="77777777" w:rsidR="004B5815" w:rsidRPr="004B5815" w:rsidRDefault="004B5815" w:rsidP="004B581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B5815">
                          <w:rPr>
                            <w:rFonts w:ascii="Arial" w:eastAsia="Times New Roman" w:hAnsi="Arial" w:cs="Arial"/>
                            <w:sz w:val="20"/>
                            <w:szCs w:val="20"/>
                            <w:bdr w:val="none" w:sz="0" w:space="0" w:color="auto" w:frame="1"/>
                          </w:rPr>
                          <w:t> </w:t>
                        </w:r>
                      </w:p>
                    </w:tc>
                  </w:tr>
                  <w:tr w:rsidR="004B5815" w:rsidRPr="004B5815" w14:paraId="5A5BAA47" w14:textId="77777777">
                    <w:trPr>
                      <w:tblCellSpacing w:w="7" w:type="dxa"/>
                    </w:trPr>
                    <w:tc>
                      <w:tcPr>
                        <w:tcW w:w="2500" w:type="pct"/>
                        <w:gridSpan w:val="2"/>
                        <w:vAlign w:val="center"/>
                        <w:hideMark/>
                      </w:tcPr>
                      <w:p w14:paraId="6D37825E" w14:textId="10FF1A10" w:rsidR="004B5815" w:rsidRDefault="004B5815" w:rsidP="00330DA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B58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New Guidance </w:t>
                        </w:r>
                        <w:r w:rsidR="00FF623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for </w:t>
                        </w:r>
                        <w:r w:rsidR="00A373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Middle-Tier </w:t>
                        </w:r>
                        <w:r w:rsidR="007634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Covid-19 </w:t>
                        </w:r>
                        <w:r w:rsidR="00A373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Vaccine Allocation</w:t>
                        </w:r>
                        <w:r w:rsidR="00FF623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Focuses on Equity and Effectiveness in Reaching High-Risk Populations</w:t>
                        </w:r>
                        <w:r w:rsidR="00F42F1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br/>
                        </w:r>
                        <w:r w:rsidR="00F42F1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br/>
                        </w:r>
                        <w:r w:rsidR="00FF6236">
                          <w:rPr>
                            <w:i/>
                            <w:iCs/>
                            <w:color w:val="000000"/>
                            <w:shd w:val="clear" w:color="auto" w:fill="FFFFFF"/>
                          </w:rPr>
                          <w:t xml:space="preserve">Ethical Considerations for Public Health </w:t>
                        </w:r>
                        <w:r w:rsidR="00F42F1E">
                          <w:rPr>
                            <w:i/>
                            <w:iCs/>
                            <w:color w:val="000000"/>
                            <w:shd w:val="clear" w:color="auto" w:fill="FFFFFF"/>
                          </w:rPr>
                          <w:t>Decision</w:t>
                        </w:r>
                        <w:r w:rsidR="00FF6236">
                          <w:rPr>
                            <w:i/>
                            <w:iCs/>
                            <w:color w:val="000000"/>
                            <w:shd w:val="clear" w:color="auto" w:fill="FFFFFF"/>
                          </w:rPr>
                          <w:t>-</w:t>
                        </w:r>
                        <w:r w:rsidR="00F42F1E">
                          <w:rPr>
                            <w:i/>
                            <w:iCs/>
                            <w:color w:val="000000"/>
                            <w:shd w:val="clear" w:color="auto" w:fill="FFFFFF"/>
                          </w:rPr>
                          <w:t>makers</w:t>
                        </w:r>
                      </w:p>
                      <w:p w14:paraId="272A945A" w14:textId="77777777" w:rsidR="00F42F1E" w:rsidRPr="00736C06" w:rsidRDefault="00F42F1E" w:rsidP="00330DA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039DDE09" w14:textId="2E84CB7A" w:rsidR="004B5815" w:rsidRPr="004B5815" w:rsidRDefault="004B5815" w:rsidP="00330DA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9A049AD" w14:textId="77777777" w:rsidR="004B5815" w:rsidRPr="004B5815" w:rsidRDefault="004B5815" w:rsidP="004B581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05A8A6C" w14:textId="77777777" w:rsidR="004B5815" w:rsidRPr="004B5815" w:rsidRDefault="004B5815" w:rsidP="004B5815">
            <w:pPr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</w:p>
        </w:tc>
      </w:tr>
    </w:tbl>
    <w:p w14:paraId="7D6FD76F" w14:textId="3E3F9EE1" w:rsidR="00FF6236" w:rsidRDefault="00F21B33" w:rsidP="00782B02">
      <w:pPr>
        <w:pStyle w:val="Body"/>
        <w:rPr>
          <w:rFonts w:asciiTheme="minorHAnsi" w:hAnsiTheme="minorHAnsi" w:cstheme="minorHAnsi"/>
          <w:sz w:val="24"/>
          <w:szCs w:val="24"/>
        </w:rPr>
      </w:pPr>
      <w:r w:rsidRPr="0043742A">
        <w:rPr>
          <w:rFonts w:asciiTheme="minorHAnsi" w:eastAsia="Times New Roman" w:hAnsiTheme="minorHAnsi" w:cstheme="minorHAnsi"/>
          <w:iCs/>
          <w:sz w:val="24"/>
          <w:szCs w:val="24"/>
        </w:rPr>
        <w:t xml:space="preserve">NEW YORK, </w:t>
      </w:r>
      <w:r w:rsidR="00A3734F" w:rsidRPr="0043742A">
        <w:rPr>
          <w:rFonts w:asciiTheme="minorHAnsi" w:eastAsia="Times New Roman" w:hAnsiTheme="minorHAnsi" w:cstheme="minorHAnsi"/>
          <w:iCs/>
          <w:sz w:val="24"/>
          <w:szCs w:val="24"/>
        </w:rPr>
        <w:t>January 15</w:t>
      </w:r>
      <w:r w:rsidRPr="0043742A">
        <w:rPr>
          <w:rFonts w:asciiTheme="minorHAnsi" w:eastAsia="Times New Roman" w:hAnsiTheme="minorHAnsi" w:cstheme="minorHAnsi"/>
          <w:iCs/>
          <w:sz w:val="24"/>
          <w:szCs w:val="24"/>
        </w:rPr>
        <w:t xml:space="preserve"> -- </w:t>
      </w:r>
      <w:r w:rsidR="001F6F94" w:rsidRPr="0043742A">
        <w:rPr>
          <w:rFonts w:asciiTheme="minorHAnsi" w:hAnsiTheme="minorHAnsi" w:cstheme="minorHAnsi"/>
          <w:sz w:val="24"/>
          <w:szCs w:val="24"/>
        </w:rPr>
        <w:t>The Hastings Center</w:t>
      </w:r>
      <w:r w:rsidR="00934367" w:rsidRPr="0043742A">
        <w:rPr>
          <w:rFonts w:asciiTheme="minorHAnsi" w:hAnsiTheme="minorHAnsi" w:cstheme="minorHAnsi"/>
          <w:sz w:val="24"/>
          <w:szCs w:val="24"/>
        </w:rPr>
        <w:t xml:space="preserve">, </w:t>
      </w:r>
      <w:r w:rsidR="00934367" w:rsidRPr="0043742A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</w:rPr>
        <w:t>a nonpartisan, nonprofit research organization that helped establish the field of bioethics in 1969,</w:t>
      </w:r>
      <w:r w:rsidR="00782B02" w:rsidRPr="0043742A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28724E" w:rsidRPr="0043742A">
        <w:rPr>
          <w:rFonts w:asciiTheme="minorHAnsi" w:hAnsiTheme="minorHAnsi" w:cstheme="minorHAnsi"/>
          <w:sz w:val="24"/>
          <w:szCs w:val="24"/>
        </w:rPr>
        <w:t xml:space="preserve">today </w:t>
      </w:r>
      <w:r w:rsidR="003C24F5" w:rsidRPr="0043742A">
        <w:rPr>
          <w:rFonts w:asciiTheme="minorHAnsi" w:hAnsiTheme="minorHAnsi" w:cstheme="minorHAnsi"/>
          <w:sz w:val="24"/>
          <w:szCs w:val="24"/>
        </w:rPr>
        <w:t>released</w:t>
      </w:r>
      <w:r w:rsidR="00330DA3" w:rsidRPr="0043742A">
        <w:rPr>
          <w:rFonts w:asciiTheme="minorHAnsi" w:hAnsiTheme="minorHAnsi" w:cstheme="minorHAnsi"/>
          <w:sz w:val="24"/>
          <w:szCs w:val="24"/>
        </w:rPr>
        <w:t xml:space="preserve"> </w:t>
      </w:r>
      <w:hyperlink r:id="rId7" w:history="1">
        <w:r w:rsidR="00330DA3" w:rsidRPr="0043742A">
          <w:rPr>
            <w:rStyle w:val="Hyperlink"/>
            <w:rFonts w:asciiTheme="minorHAnsi" w:hAnsiTheme="minorHAnsi" w:cstheme="minorHAnsi"/>
            <w:sz w:val="24"/>
            <w:szCs w:val="24"/>
          </w:rPr>
          <w:t>new guidance</w:t>
        </w:r>
      </w:hyperlink>
      <w:r w:rsidR="00330DA3" w:rsidRPr="0043742A">
        <w:rPr>
          <w:rFonts w:asciiTheme="minorHAnsi" w:hAnsiTheme="minorHAnsi" w:cstheme="minorHAnsi"/>
          <w:sz w:val="24"/>
          <w:szCs w:val="24"/>
        </w:rPr>
        <w:t xml:space="preserve"> for local public health authorities and health care systems to </w:t>
      </w:r>
      <w:r w:rsidR="00FF6236">
        <w:rPr>
          <w:rFonts w:asciiTheme="minorHAnsi" w:hAnsiTheme="minorHAnsi" w:cstheme="minorHAnsi"/>
          <w:sz w:val="24"/>
          <w:szCs w:val="24"/>
        </w:rPr>
        <w:t xml:space="preserve">help ensure equitable and effective prioritization of Covid-19 vaccine access, based on risk factors, in </w:t>
      </w:r>
      <w:r w:rsidR="006C021A">
        <w:rPr>
          <w:rFonts w:asciiTheme="minorHAnsi" w:hAnsiTheme="minorHAnsi" w:cstheme="minorHAnsi"/>
          <w:sz w:val="24"/>
          <w:szCs w:val="24"/>
        </w:rPr>
        <w:t xml:space="preserve">the </w:t>
      </w:r>
      <w:r w:rsidR="00FF6236">
        <w:rPr>
          <w:rFonts w:asciiTheme="minorHAnsi" w:hAnsiTheme="minorHAnsi" w:cstheme="minorHAnsi"/>
          <w:sz w:val="24"/>
          <w:szCs w:val="24"/>
        </w:rPr>
        <w:t>months ahead.</w:t>
      </w:r>
    </w:p>
    <w:p w14:paraId="0578D39E" w14:textId="6142C2EE" w:rsidR="0043742A" w:rsidRPr="0043742A" w:rsidRDefault="00782B02" w:rsidP="00782B02">
      <w:pPr>
        <w:pStyle w:val="Body"/>
        <w:rPr>
          <w:rFonts w:asciiTheme="minorHAnsi" w:hAnsiTheme="minorHAnsi" w:cstheme="minorHAnsi"/>
          <w:sz w:val="24"/>
          <w:szCs w:val="24"/>
        </w:rPr>
      </w:pPr>
      <w:r w:rsidRPr="0043742A">
        <w:rPr>
          <w:rFonts w:asciiTheme="minorHAnsi" w:hAnsiTheme="minorHAnsi" w:cstheme="minorHAnsi"/>
          <w:sz w:val="24"/>
          <w:szCs w:val="24"/>
        </w:rPr>
        <w:br/>
      </w:r>
      <w:r w:rsidR="002B6302" w:rsidRPr="0043742A">
        <w:rPr>
          <w:rFonts w:asciiTheme="minorHAnsi" w:hAnsiTheme="minorHAnsi" w:cstheme="minorHAnsi"/>
          <w:sz w:val="24"/>
          <w:szCs w:val="24"/>
        </w:rPr>
        <w:t xml:space="preserve">The document provides detailed guidance supporting </w:t>
      </w:r>
      <w:r w:rsidR="0043742A">
        <w:rPr>
          <w:rFonts w:asciiTheme="minorHAnsi" w:hAnsiTheme="minorHAnsi" w:cstheme="minorHAnsi"/>
          <w:sz w:val="24"/>
          <w:szCs w:val="24"/>
        </w:rPr>
        <w:t xml:space="preserve">vaccine </w:t>
      </w:r>
      <w:r w:rsidR="002B6302" w:rsidRPr="0043742A">
        <w:rPr>
          <w:rFonts w:asciiTheme="minorHAnsi" w:hAnsiTheme="minorHAnsi" w:cstheme="minorHAnsi"/>
          <w:sz w:val="24"/>
          <w:szCs w:val="24"/>
        </w:rPr>
        <w:t xml:space="preserve">allocation </w:t>
      </w:r>
      <w:r w:rsidR="00FF6236">
        <w:rPr>
          <w:rFonts w:asciiTheme="minorHAnsi" w:hAnsiTheme="minorHAnsi" w:cstheme="minorHAnsi"/>
          <w:sz w:val="24"/>
          <w:szCs w:val="24"/>
        </w:rPr>
        <w:t>to prioritized groups beyond initial allocation to health care workers and long</w:t>
      </w:r>
      <w:r w:rsidR="0085591A">
        <w:rPr>
          <w:rFonts w:asciiTheme="minorHAnsi" w:hAnsiTheme="minorHAnsi" w:cstheme="minorHAnsi"/>
          <w:sz w:val="24"/>
          <w:szCs w:val="24"/>
        </w:rPr>
        <w:t>-t</w:t>
      </w:r>
      <w:r w:rsidR="00FF6236">
        <w:rPr>
          <w:rFonts w:asciiTheme="minorHAnsi" w:hAnsiTheme="minorHAnsi" w:cstheme="minorHAnsi"/>
          <w:sz w:val="24"/>
          <w:szCs w:val="24"/>
        </w:rPr>
        <w:t>erm care facilities, and b</w:t>
      </w:r>
      <w:r w:rsidR="002B6302" w:rsidRPr="0043742A">
        <w:rPr>
          <w:rFonts w:asciiTheme="minorHAnsi" w:hAnsiTheme="minorHAnsi" w:cstheme="minorHAnsi"/>
          <w:sz w:val="24"/>
          <w:szCs w:val="24"/>
        </w:rPr>
        <w:t xml:space="preserve">efore widespread availability of the vaccine to the general public. </w:t>
      </w:r>
    </w:p>
    <w:p w14:paraId="35A73AB4" w14:textId="1408087F" w:rsidR="0043742A" w:rsidRPr="0043742A" w:rsidRDefault="0043742A" w:rsidP="0043742A">
      <w:pPr>
        <w:pStyle w:val="NormalWeb"/>
        <w:rPr>
          <w:rFonts w:asciiTheme="minorHAnsi" w:hAnsiTheme="minorHAnsi" w:cstheme="minorHAnsi"/>
          <w:color w:val="000000"/>
        </w:rPr>
      </w:pPr>
      <w:r w:rsidRPr="0043742A">
        <w:rPr>
          <w:rFonts w:asciiTheme="minorHAnsi" w:hAnsiTheme="minorHAnsi" w:cstheme="minorHAnsi"/>
          <w:color w:val="000000"/>
        </w:rPr>
        <w:t xml:space="preserve">The guidance </w:t>
      </w:r>
      <w:r w:rsidR="00FF6236">
        <w:rPr>
          <w:rFonts w:asciiTheme="minorHAnsi" w:hAnsiTheme="minorHAnsi" w:cstheme="minorHAnsi"/>
          <w:color w:val="000000"/>
        </w:rPr>
        <w:t xml:space="preserve">draws on the March 2020 Hastings Center Ethical Framework for Covid-19 response, which articulates public health duties – to plan, to safeguard, to guide, and to collaborate – during </w:t>
      </w:r>
      <w:r w:rsidR="00E85B3A">
        <w:rPr>
          <w:rFonts w:asciiTheme="minorHAnsi" w:hAnsiTheme="minorHAnsi" w:cstheme="minorHAnsi"/>
          <w:color w:val="000000"/>
        </w:rPr>
        <w:t xml:space="preserve">the </w:t>
      </w:r>
      <w:r w:rsidR="00FF6236">
        <w:rPr>
          <w:rFonts w:asciiTheme="minorHAnsi" w:hAnsiTheme="minorHAnsi" w:cstheme="minorHAnsi"/>
          <w:color w:val="000000"/>
        </w:rPr>
        <w:t>pandemic. The new guidance explains how these duties apply in the context of vaccine allocation:</w:t>
      </w:r>
    </w:p>
    <w:p w14:paraId="6B83CEE6" w14:textId="4E81D0EC" w:rsidR="0043742A" w:rsidRPr="0043742A" w:rsidRDefault="0043742A" w:rsidP="0043742A">
      <w:pPr>
        <w:pStyle w:val="NormalWeb"/>
        <w:rPr>
          <w:rFonts w:asciiTheme="minorHAnsi" w:hAnsiTheme="minorHAnsi" w:cstheme="minorHAnsi"/>
          <w:color w:val="000000"/>
        </w:rPr>
      </w:pPr>
      <w:r w:rsidRPr="0043742A">
        <w:rPr>
          <w:rFonts w:asciiTheme="minorHAnsi" w:hAnsiTheme="minorHAnsi" w:cstheme="minorHAnsi"/>
          <w:color w:val="000000"/>
        </w:rPr>
        <w:t xml:space="preserve">· </w:t>
      </w:r>
      <w:r w:rsidRPr="0043742A">
        <w:rPr>
          <w:rFonts w:asciiTheme="minorHAnsi" w:hAnsiTheme="minorHAnsi" w:cstheme="minorHAnsi"/>
          <w:b/>
          <w:bCs/>
          <w:color w:val="000000"/>
        </w:rPr>
        <w:t>Equity.</w:t>
      </w:r>
      <w:r w:rsidRPr="0043742A">
        <w:rPr>
          <w:rFonts w:asciiTheme="minorHAnsi" w:hAnsiTheme="minorHAnsi" w:cstheme="minorHAnsi"/>
          <w:color w:val="000000"/>
        </w:rPr>
        <w:t xml:space="preserve"> Fairness in how benefits and burdens are distributed across a society should be a cross-cutting consideration at all phases of vaccine allocation.</w:t>
      </w:r>
    </w:p>
    <w:p w14:paraId="3AA540A5" w14:textId="29BEFFF9" w:rsidR="0043742A" w:rsidRPr="0043742A" w:rsidRDefault="0043742A" w:rsidP="0043742A">
      <w:pPr>
        <w:pStyle w:val="NormalWeb"/>
        <w:rPr>
          <w:rFonts w:asciiTheme="minorHAnsi" w:hAnsiTheme="minorHAnsi" w:cstheme="minorHAnsi"/>
          <w:color w:val="000000"/>
        </w:rPr>
      </w:pPr>
      <w:r w:rsidRPr="0043742A">
        <w:rPr>
          <w:rFonts w:asciiTheme="minorHAnsi" w:hAnsiTheme="minorHAnsi" w:cstheme="minorHAnsi"/>
          <w:color w:val="000000"/>
        </w:rPr>
        <w:t xml:space="preserve">· </w:t>
      </w:r>
      <w:r w:rsidRPr="0043742A">
        <w:rPr>
          <w:rFonts w:asciiTheme="minorHAnsi" w:hAnsiTheme="minorHAnsi" w:cstheme="minorHAnsi"/>
          <w:b/>
          <w:bCs/>
          <w:color w:val="000000"/>
        </w:rPr>
        <w:t>Alternative to blunt age cutoffs.</w:t>
      </w:r>
      <w:r w:rsidR="005D2552">
        <w:rPr>
          <w:rFonts w:asciiTheme="minorHAnsi" w:hAnsiTheme="minorHAnsi" w:cstheme="minorHAnsi"/>
          <w:color w:val="000000"/>
        </w:rPr>
        <w:t xml:space="preserve"> </w:t>
      </w:r>
      <w:r w:rsidRPr="0043742A">
        <w:rPr>
          <w:rFonts w:asciiTheme="minorHAnsi" w:hAnsiTheme="minorHAnsi" w:cstheme="minorHAnsi"/>
          <w:color w:val="000000"/>
        </w:rPr>
        <w:t>Covid-19 is perilous to adults</w:t>
      </w:r>
      <w:r w:rsidR="005D2552">
        <w:rPr>
          <w:rFonts w:asciiTheme="minorHAnsi" w:hAnsiTheme="minorHAnsi" w:cstheme="minorHAnsi"/>
          <w:color w:val="000000"/>
        </w:rPr>
        <w:t xml:space="preserve"> age 75 and older and</w:t>
      </w:r>
      <w:r w:rsidRPr="0043742A">
        <w:rPr>
          <w:rFonts w:asciiTheme="minorHAnsi" w:hAnsiTheme="minorHAnsi" w:cstheme="minorHAnsi"/>
          <w:color w:val="000000"/>
        </w:rPr>
        <w:t xml:space="preserve"> to people with multiple comorbidities. </w:t>
      </w:r>
      <w:r w:rsidR="005D2552">
        <w:rPr>
          <w:rFonts w:asciiTheme="minorHAnsi" w:hAnsiTheme="minorHAnsi" w:cstheme="minorHAnsi"/>
          <w:iCs/>
          <w:color w:val="000000"/>
        </w:rPr>
        <w:t xml:space="preserve">Recent efforts to widely expand vaccine access to all people age 65 and older could crowd out those at highest risk unless there is special attention to </w:t>
      </w:r>
      <w:r w:rsidR="00E85B3A">
        <w:rPr>
          <w:rFonts w:asciiTheme="minorHAnsi" w:hAnsiTheme="minorHAnsi" w:cstheme="minorHAnsi"/>
          <w:iCs/>
          <w:color w:val="000000"/>
        </w:rPr>
        <w:t>ensuring access</w:t>
      </w:r>
      <w:r w:rsidR="005D2552">
        <w:rPr>
          <w:rFonts w:asciiTheme="minorHAnsi" w:hAnsiTheme="minorHAnsi" w:cstheme="minorHAnsi"/>
          <w:iCs/>
          <w:color w:val="000000"/>
        </w:rPr>
        <w:t xml:space="preserve"> for people 75 and older and people with multiple comorbidities. </w:t>
      </w:r>
    </w:p>
    <w:p w14:paraId="57A27154" w14:textId="1F6EABF5" w:rsidR="0043742A" w:rsidRPr="0085591A" w:rsidRDefault="0043742A" w:rsidP="0043742A">
      <w:pPr>
        <w:pStyle w:val="NormalWeb"/>
        <w:rPr>
          <w:rFonts w:asciiTheme="minorHAnsi" w:hAnsiTheme="minorHAnsi" w:cstheme="minorHAnsi"/>
          <w:iCs/>
          <w:color w:val="000000"/>
        </w:rPr>
      </w:pPr>
      <w:r w:rsidRPr="0043742A">
        <w:rPr>
          <w:rFonts w:asciiTheme="minorHAnsi" w:hAnsiTheme="minorHAnsi" w:cstheme="minorHAnsi"/>
          <w:color w:val="000000"/>
        </w:rPr>
        <w:t xml:space="preserve">· </w:t>
      </w:r>
      <w:r w:rsidR="005D2552">
        <w:rPr>
          <w:rFonts w:asciiTheme="minorHAnsi" w:hAnsiTheme="minorHAnsi" w:cstheme="minorHAnsi"/>
          <w:b/>
          <w:bCs/>
          <w:color w:val="000000"/>
        </w:rPr>
        <w:t>Focus on</w:t>
      </w:r>
      <w:r w:rsidRPr="0043742A">
        <w:rPr>
          <w:rFonts w:asciiTheme="minorHAnsi" w:hAnsiTheme="minorHAnsi" w:cstheme="minorHAnsi"/>
          <w:b/>
          <w:bCs/>
          <w:color w:val="000000"/>
        </w:rPr>
        <w:t xml:space="preserve"> high-risk environments.</w:t>
      </w:r>
      <w:r w:rsidRPr="0043742A">
        <w:rPr>
          <w:rFonts w:asciiTheme="minorHAnsi" w:hAnsiTheme="minorHAnsi" w:cstheme="minorHAnsi"/>
          <w:color w:val="000000"/>
        </w:rPr>
        <w:t xml:space="preserve"> A population-health approach</w:t>
      </w:r>
      <w:r w:rsidR="005D2552">
        <w:rPr>
          <w:rFonts w:asciiTheme="minorHAnsi" w:hAnsiTheme="minorHAnsi" w:cstheme="minorHAnsi"/>
          <w:color w:val="000000"/>
        </w:rPr>
        <w:t xml:space="preserve"> to equitable and effective vaccine allocation</w:t>
      </w:r>
      <w:r w:rsidRPr="0043742A">
        <w:rPr>
          <w:rFonts w:asciiTheme="minorHAnsi" w:hAnsiTheme="minorHAnsi" w:cstheme="minorHAnsi"/>
          <w:color w:val="000000"/>
        </w:rPr>
        <w:t xml:space="preserve"> would</w:t>
      </w:r>
      <w:r w:rsidR="005D2552">
        <w:rPr>
          <w:rFonts w:asciiTheme="minorHAnsi" w:hAnsiTheme="minorHAnsi" w:cstheme="minorHAnsi"/>
          <w:color w:val="000000"/>
        </w:rPr>
        <w:t xml:space="preserve"> next</w:t>
      </w:r>
      <w:r w:rsidRPr="0043742A">
        <w:rPr>
          <w:rFonts w:asciiTheme="minorHAnsi" w:hAnsiTheme="minorHAnsi" w:cstheme="minorHAnsi"/>
          <w:color w:val="000000"/>
        </w:rPr>
        <w:t xml:space="preserve"> prioritize people </w:t>
      </w:r>
      <w:r w:rsidR="005D2552">
        <w:rPr>
          <w:rFonts w:asciiTheme="minorHAnsi" w:hAnsiTheme="minorHAnsi" w:cstheme="minorHAnsi"/>
          <w:color w:val="000000"/>
        </w:rPr>
        <w:t>who live or work in</w:t>
      </w:r>
      <w:r w:rsidRPr="0043742A">
        <w:rPr>
          <w:rFonts w:asciiTheme="minorHAnsi" w:hAnsiTheme="minorHAnsi" w:cstheme="minorHAnsi"/>
          <w:color w:val="000000"/>
        </w:rPr>
        <w:t xml:space="preserve"> high-risk environments</w:t>
      </w:r>
      <w:r w:rsidR="005D2552">
        <w:rPr>
          <w:rFonts w:asciiTheme="minorHAnsi" w:hAnsiTheme="minorHAnsi" w:cstheme="minorHAnsi"/>
          <w:color w:val="000000"/>
        </w:rPr>
        <w:t xml:space="preserve"> such as prisons and </w:t>
      </w:r>
      <w:r w:rsidRPr="0043742A">
        <w:rPr>
          <w:rFonts w:asciiTheme="minorHAnsi" w:hAnsiTheme="minorHAnsi" w:cstheme="minorHAnsi"/>
          <w:color w:val="000000"/>
        </w:rPr>
        <w:t xml:space="preserve">detention </w:t>
      </w:r>
      <w:r w:rsidR="006C021A" w:rsidRPr="0043742A">
        <w:rPr>
          <w:rFonts w:asciiTheme="minorHAnsi" w:hAnsiTheme="minorHAnsi" w:cstheme="minorHAnsi"/>
          <w:color w:val="000000"/>
        </w:rPr>
        <w:t>facilities,</w:t>
      </w:r>
      <w:r w:rsidRPr="0043742A">
        <w:rPr>
          <w:rFonts w:asciiTheme="minorHAnsi" w:hAnsiTheme="minorHAnsi" w:cstheme="minorHAnsi"/>
          <w:color w:val="000000"/>
        </w:rPr>
        <w:t xml:space="preserve"> meatpacking facilities</w:t>
      </w:r>
      <w:r w:rsidR="005D2552">
        <w:rPr>
          <w:rFonts w:asciiTheme="minorHAnsi" w:hAnsiTheme="minorHAnsi" w:cstheme="minorHAnsi"/>
          <w:color w:val="000000"/>
        </w:rPr>
        <w:t xml:space="preserve">, or </w:t>
      </w:r>
      <w:r w:rsidRPr="0043742A">
        <w:rPr>
          <w:rFonts w:asciiTheme="minorHAnsi" w:hAnsiTheme="minorHAnsi" w:cstheme="minorHAnsi"/>
          <w:color w:val="000000"/>
        </w:rPr>
        <w:t xml:space="preserve">neighborhoods with high infection rates. </w:t>
      </w:r>
      <w:r w:rsidRPr="0085591A">
        <w:rPr>
          <w:rFonts w:asciiTheme="minorHAnsi" w:hAnsiTheme="minorHAnsi" w:cstheme="minorHAnsi"/>
          <w:iCs/>
          <w:color w:val="000000"/>
        </w:rPr>
        <w:t>Overlooking populations</w:t>
      </w:r>
      <w:r w:rsidR="005D2552">
        <w:rPr>
          <w:rFonts w:asciiTheme="minorHAnsi" w:hAnsiTheme="minorHAnsi" w:cstheme="minorHAnsi"/>
          <w:iCs/>
          <w:color w:val="000000"/>
        </w:rPr>
        <w:t xml:space="preserve"> at known high risk of infection, transmission, or severe illness</w:t>
      </w:r>
      <w:r w:rsidRPr="0085591A">
        <w:rPr>
          <w:rFonts w:asciiTheme="minorHAnsi" w:hAnsiTheme="minorHAnsi" w:cstheme="minorHAnsi"/>
          <w:iCs/>
          <w:color w:val="000000"/>
        </w:rPr>
        <w:t xml:space="preserve"> is a failure of public health duties.</w:t>
      </w:r>
    </w:p>
    <w:p w14:paraId="0DE27D0F" w14:textId="77777777" w:rsidR="0043742A" w:rsidRPr="0043742A" w:rsidRDefault="0043742A" w:rsidP="0043742A">
      <w:pPr>
        <w:pStyle w:val="NormalWeb"/>
        <w:rPr>
          <w:rFonts w:asciiTheme="minorHAnsi" w:hAnsiTheme="minorHAnsi" w:cstheme="minorHAnsi"/>
          <w:color w:val="000000"/>
        </w:rPr>
      </w:pPr>
      <w:r w:rsidRPr="0043742A">
        <w:rPr>
          <w:rFonts w:asciiTheme="minorHAnsi" w:hAnsiTheme="minorHAnsi" w:cstheme="minorHAnsi"/>
          <w:color w:val="000000"/>
        </w:rPr>
        <w:lastRenderedPageBreak/>
        <w:t xml:space="preserve">· </w:t>
      </w:r>
      <w:r w:rsidRPr="0043742A">
        <w:rPr>
          <w:rFonts w:asciiTheme="minorHAnsi" w:hAnsiTheme="minorHAnsi" w:cstheme="minorHAnsi"/>
          <w:b/>
          <w:bCs/>
          <w:color w:val="000000"/>
        </w:rPr>
        <w:t>Proactive response to vaccine hesitancy</w:t>
      </w:r>
      <w:r w:rsidRPr="0043742A">
        <w:rPr>
          <w:rFonts w:asciiTheme="minorHAnsi" w:hAnsiTheme="minorHAnsi" w:cstheme="minorHAnsi"/>
          <w:color w:val="000000"/>
        </w:rPr>
        <w:t xml:space="preserve"> as part of ethical and effective vaccine allocation.</w:t>
      </w:r>
    </w:p>
    <w:p w14:paraId="760955D9" w14:textId="001556E7" w:rsidR="00A3734F" w:rsidRPr="0043742A" w:rsidRDefault="0043742A" w:rsidP="0043742A">
      <w:pPr>
        <w:pStyle w:val="NormalWeb"/>
        <w:rPr>
          <w:rFonts w:asciiTheme="minorHAnsi" w:hAnsiTheme="minorHAnsi" w:cstheme="minorHAnsi"/>
          <w:color w:val="000000"/>
        </w:rPr>
      </w:pPr>
      <w:r w:rsidRPr="0043742A">
        <w:rPr>
          <w:rFonts w:asciiTheme="minorHAnsi" w:hAnsiTheme="minorHAnsi" w:cstheme="minorHAnsi"/>
          <w:color w:val="000000"/>
        </w:rPr>
        <w:t xml:space="preserve">· </w:t>
      </w:r>
      <w:r w:rsidRPr="0043742A">
        <w:rPr>
          <w:rFonts w:asciiTheme="minorHAnsi" w:hAnsiTheme="minorHAnsi" w:cstheme="minorHAnsi"/>
          <w:b/>
          <w:bCs/>
          <w:color w:val="000000"/>
        </w:rPr>
        <w:t>Prioritization of home health workers</w:t>
      </w:r>
      <w:r w:rsidRPr="0043742A">
        <w:rPr>
          <w:rFonts w:asciiTheme="minorHAnsi" w:hAnsiTheme="minorHAnsi" w:cstheme="minorHAnsi"/>
          <w:color w:val="000000"/>
        </w:rPr>
        <w:t xml:space="preserve"> as frontline health care workers</w:t>
      </w:r>
      <w:r w:rsidR="006C021A">
        <w:rPr>
          <w:rFonts w:asciiTheme="minorHAnsi" w:hAnsiTheme="minorHAnsi" w:cstheme="minorHAnsi"/>
          <w:color w:val="000000"/>
        </w:rPr>
        <w:t>.</w:t>
      </w:r>
    </w:p>
    <w:p w14:paraId="0304293D" w14:textId="733D78FE" w:rsidR="0051258B" w:rsidRPr="0043742A" w:rsidRDefault="0043742A" w:rsidP="00A3734F">
      <w:pPr>
        <w:pStyle w:val="Body"/>
        <w:rPr>
          <w:rFonts w:asciiTheme="minorHAnsi" w:hAnsiTheme="minorHAnsi" w:cstheme="minorHAnsi"/>
          <w:sz w:val="24"/>
          <w:szCs w:val="24"/>
        </w:rPr>
      </w:pPr>
      <w:r w:rsidRPr="0043742A">
        <w:rPr>
          <w:rFonts w:asciiTheme="minorHAnsi" w:eastAsia="Times New Roman" w:hAnsiTheme="minorHAnsi" w:cstheme="minorHAnsi"/>
          <w:iCs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“Health care leaders, county public health systems, and community health centers, are responsible for vaccine allocation in accordance with state-level allocation plans. These state plans are not uniform. As vaccine allocation moves from hospitals and long-term care facilities into</w:t>
      </w:r>
      <w:r w:rsidR="005D2552">
        <w:rPr>
          <w:rFonts w:asciiTheme="minorHAnsi" w:eastAsia="Times New Roman" w:hAnsiTheme="minorHAnsi" w:cstheme="minorHAnsi"/>
          <w:iCs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multiple sites and to every county</w:t>
      </w:r>
      <w:r w:rsidRPr="0043742A">
        <w:rPr>
          <w:rFonts w:asciiTheme="minorHAnsi" w:eastAsia="Times New Roman" w:hAnsiTheme="minorHAnsi" w:cstheme="minorHAnsi"/>
          <w:iCs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="005D2552">
        <w:rPr>
          <w:rFonts w:asciiTheme="minorHAnsi" w:eastAsia="Times New Roman" w:hAnsiTheme="minorHAnsi" w:cstheme="minorHAnsi"/>
          <w:iCs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public health and </w:t>
      </w:r>
      <w:r w:rsidRPr="0043742A">
        <w:rPr>
          <w:rFonts w:asciiTheme="minorHAnsi" w:eastAsia="Times New Roman" w:hAnsiTheme="minorHAnsi" w:cstheme="minorHAnsi"/>
          <w:iCs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health care leaders should facilitate the vaccination of at-risk populations in the communities they serve, using prioritization criteria that reflect shared values and goals,” said Nancy Berlinger, the Hastings Center research scholar who directed the work.</w:t>
      </w:r>
    </w:p>
    <w:p w14:paraId="33E38633" w14:textId="657A3300" w:rsidR="001F6F94" w:rsidRPr="0043742A" w:rsidRDefault="0043742A" w:rsidP="004B5815">
      <w:pPr>
        <w:pStyle w:val="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="003C24F5" w:rsidRPr="0043742A">
        <w:rPr>
          <w:rFonts w:asciiTheme="minorHAnsi" w:hAnsiTheme="minorHAnsi" w:cstheme="minorHAnsi"/>
          <w:sz w:val="24"/>
          <w:szCs w:val="24"/>
        </w:rPr>
        <w:t>The project was made possible by the</w:t>
      </w:r>
      <w:r w:rsidR="005D2552">
        <w:rPr>
          <w:rFonts w:asciiTheme="minorHAnsi" w:hAnsiTheme="minorHAnsi" w:cstheme="minorHAnsi"/>
          <w:sz w:val="24"/>
          <w:szCs w:val="24"/>
        </w:rPr>
        <w:t xml:space="preserve"> </w:t>
      </w:r>
      <w:r w:rsidR="005D2552" w:rsidRPr="000879E3">
        <w:rPr>
          <w:rFonts w:asciiTheme="minorHAnsi" w:hAnsiTheme="minorHAnsi" w:cstheme="minorHAnsi"/>
          <w:sz w:val="24"/>
          <w:szCs w:val="24"/>
        </w:rPr>
        <w:t>I</w:t>
      </w:r>
      <w:r w:rsidR="003C24F5" w:rsidRPr="000879E3">
        <w:rPr>
          <w:rFonts w:asciiTheme="minorHAnsi" w:hAnsiTheme="minorHAnsi" w:cstheme="minorHAnsi"/>
          <w:sz w:val="24"/>
          <w:szCs w:val="24"/>
        </w:rPr>
        <w:t>mpact Fund at The Hastings Center.</w:t>
      </w:r>
      <w:r w:rsidR="003C24F5" w:rsidRPr="0043742A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652CC84" w14:textId="417CBE3E" w:rsidR="00782B02" w:rsidRPr="0043742A" w:rsidRDefault="00782B02" w:rsidP="004B5815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699B25A4" w14:textId="162CFACC" w:rsidR="00782B02" w:rsidRPr="0043742A" w:rsidRDefault="00782B02" w:rsidP="004B5815">
      <w:pPr>
        <w:pStyle w:val="Body"/>
        <w:rPr>
          <w:rFonts w:asciiTheme="minorHAnsi" w:hAnsiTheme="minorHAnsi" w:cstheme="minorHAnsi"/>
          <w:sz w:val="24"/>
          <w:szCs w:val="24"/>
        </w:rPr>
      </w:pPr>
      <w:r w:rsidRPr="0043742A">
        <w:rPr>
          <w:rFonts w:asciiTheme="minorHAnsi" w:hAnsiTheme="minorHAnsi" w:cstheme="minorHAnsi"/>
          <w:sz w:val="24"/>
          <w:szCs w:val="24"/>
        </w:rPr>
        <w:t>###</w:t>
      </w:r>
    </w:p>
    <w:p w14:paraId="3C94CE15" w14:textId="5735D1AB" w:rsidR="001719F4" w:rsidRPr="0043742A" w:rsidRDefault="001719F4" w:rsidP="00334953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712B76A1" w14:textId="0AEDD9C0" w:rsidR="00A3734F" w:rsidRPr="0043742A" w:rsidRDefault="003C24F5" w:rsidP="00A3734F">
      <w:pPr>
        <w:pStyle w:val="Body"/>
        <w:rPr>
          <w:rFonts w:asciiTheme="minorHAnsi" w:hAnsiTheme="minorHAnsi" w:cstheme="minorHAnsi"/>
          <w:sz w:val="24"/>
          <w:szCs w:val="24"/>
        </w:rPr>
      </w:pPr>
      <w:r w:rsidRPr="0043742A">
        <w:rPr>
          <w:rFonts w:asciiTheme="minorHAnsi" w:hAnsiTheme="minorHAnsi" w:cstheme="minorHAnsi"/>
          <w:sz w:val="24"/>
          <w:szCs w:val="24"/>
        </w:rPr>
        <w:t>For more information</w:t>
      </w:r>
      <w:r w:rsidR="00C543B6" w:rsidRPr="0043742A">
        <w:rPr>
          <w:rFonts w:asciiTheme="minorHAnsi" w:hAnsiTheme="minorHAnsi" w:cstheme="minorHAnsi"/>
          <w:sz w:val="24"/>
          <w:szCs w:val="24"/>
        </w:rPr>
        <w:t xml:space="preserve"> please </w:t>
      </w:r>
      <w:r w:rsidR="001719F4" w:rsidRPr="0043742A">
        <w:rPr>
          <w:rFonts w:asciiTheme="minorHAnsi" w:hAnsiTheme="minorHAnsi" w:cstheme="minorHAnsi"/>
          <w:sz w:val="24"/>
          <w:szCs w:val="24"/>
        </w:rPr>
        <w:t>contact</w:t>
      </w:r>
      <w:r w:rsidR="00C543B6" w:rsidRPr="0043742A">
        <w:rPr>
          <w:rFonts w:asciiTheme="minorHAnsi" w:hAnsiTheme="minorHAnsi" w:cstheme="minorHAnsi"/>
          <w:sz w:val="24"/>
          <w:szCs w:val="24"/>
        </w:rPr>
        <w:t>:</w:t>
      </w:r>
    </w:p>
    <w:p w14:paraId="71C4CA88" w14:textId="77777777" w:rsidR="00A3734F" w:rsidRPr="0043742A" w:rsidRDefault="00A3734F" w:rsidP="00A3734F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6E9D2F4C" w14:textId="590412F2" w:rsidR="001719F4" w:rsidRPr="0043742A" w:rsidRDefault="00A3734F" w:rsidP="00A3734F">
      <w:pPr>
        <w:pStyle w:val="Body"/>
        <w:rPr>
          <w:rFonts w:asciiTheme="minorHAnsi" w:hAnsiTheme="minorHAnsi" w:cstheme="minorHAnsi"/>
          <w:sz w:val="24"/>
          <w:szCs w:val="24"/>
        </w:rPr>
      </w:pPr>
      <w:r w:rsidRPr="0043742A">
        <w:rPr>
          <w:rFonts w:asciiTheme="minorHAnsi" w:hAnsiTheme="minorHAnsi" w:cstheme="minorHAnsi"/>
          <w:sz w:val="24"/>
          <w:szCs w:val="24"/>
        </w:rPr>
        <w:t>Susan Gilbert</w:t>
      </w:r>
      <w:r w:rsidR="001719F4" w:rsidRPr="0043742A">
        <w:rPr>
          <w:rFonts w:asciiTheme="minorHAnsi" w:eastAsia="Times New Roman" w:hAnsiTheme="minorHAnsi" w:cstheme="minorHAnsi"/>
          <w:sz w:val="24"/>
          <w:szCs w:val="24"/>
        </w:rPr>
        <w:br/>
        <w:t>Director of Communications</w:t>
      </w:r>
      <w:r w:rsidR="001719F4" w:rsidRPr="0043742A">
        <w:rPr>
          <w:rFonts w:asciiTheme="minorHAnsi" w:eastAsia="Times New Roman" w:hAnsiTheme="minorHAnsi" w:cstheme="minorHAnsi"/>
          <w:sz w:val="24"/>
          <w:szCs w:val="24"/>
        </w:rPr>
        <w:br/>
        <w:t>The Hastings Center</w:t>
      </w:r>
      <w:r w:rsidR="001719F4" w:rsidRPr="0043742A">
        <w:rPr>
          <w:rFonts w:asciiTheme="minorHAnsi" w:eastAsia="Times New Roman" w:hAnsiTheme="minorHAnsi" w:cstheme="minorHAnsi"/>
          <w:sz w:val="24"/>
          <w:szCs w:val="24"/>
        </w:rPr>
        <w:br/>
      </w:r>
      <w:hyperlink r:id="rId8" w:history="1">
        <w:r w:rsidR="002B6302" w:rsidRPr="0043742A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communications@thehastingscenter.org</w:t>
        </w:r>
      </w:hyperlink>
      <w:r w:rsidR="001719F4" w:rsidRPr="0043742A">
        <w:rPr>
          <w:rFonts w:asciiTheme="minorHAnsi" w:eastAsia="Times New Roman" w:hAnsiTheme="minorHAnsi" w:cstheme="minorHAnsi"/>
          <w:sz w:val="24"/>
          <w:szCs w:val="24"/>
        </w:rPr>
        <w:br/>
        <w:t>845-424-4040</w:t>
      </w:r>
      <w:r w:rsidR="00D77E39" w:rsidRPr="0043742A">
        <w:rPr>
          <w:rFonts w:asciiTheme="minorHAnsi" w:eastAsia="Times New Roman" w:hAnsiTheme="minorHAnsi" w:cstheme="minorHAnsi"/>
          <w:sz w:val="24"/>
          <w:szCs w:val="24"/>
        </w:rPr>
        <w:t xml:space="preserve">, ext. </w:t>
      </w:r>
      <w:r w:rsidR="001719F4" w:rsidRPr="0043742A">
        <w:rPr>
          <w:rFonts w:asciiTheme="minorHAnsi" w:eastAsia="Times New Roman" w:hAnsiTheme="minorHAnsi" w:cstheme="minorHAnsi"/>
          <w:sz w:val="24"/>
          <w:szCs w:val="24"/>
        </w:rPr>
        <w:t>244</w:t>
      </w:r>
    </w:p>
    <w:p w14:paraId="38F3F664" w14:textId="77777777" w:rsidR="001719F4" w:rsidRPr="0043742A" w:rsidRDefault="001719F4" w:rsidP="00F32E58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74D8FEE2" w14:textId="77777777" w:rsidR="001719F4" w:rsidRDefault="001719F4" w:rsidP="00F32E58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00EA9848" w14:textId="77777777" w:rsidR="005A43EF" w:rsidRPr="005A43EF" w:rsidRDefault="005A43EF" w:rsidP="00CB5BC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7A369DAA" w14:textId="59DC3E6C" w:rsidR="00355E47" w:rsidRPr="005A43EF" w:rsidRDefault="00355E47" w:rsidP="00355E47">
      <w:pPr>
        <w:rPr>
          <w:rFonts w:ascii="Times New Roman" w:hAnsi="Times New Roman" w:cs="Times New Roman"/>
          <w:sz w:val="24"/>
          <w:szCs w:val="24"/>
        </w:rPr>
      </w:pPr>
    </w:p>
    <w:p w14:paraId="5244C488" w14:textId="78740EE9" w:rsidR="00561D51" w:rsidRPr="005A43EF" w:rsidRDefault="00561D51" w:rsidP="001F6F94">
      <w:pPr>
        <w:rPr>
          <w:rFonts w:ascii="Times New Roman" w:hAnsi="Times New Roman" w:cs="Times New Roman"/>
          <w:sz w:val="24"/>
          <w:szCs w:val="24"/>
        </w:rPr>
      </w:pPr>
    </w:p>
    <w:sectPr w:rsidR="00561D51" w:rsidRPr="005A4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83" w:usb1="10000000" w:usb2="00000000" w:usb3="00000000" w:csb0="8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Old Style Std">
    <w:altName w:val="Calibri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7649E"/>
    <w:multiLevelType w:val="hybridMultilevel"/>
    <w:tmpl w:val="7DBC2908"/>
    <w:numStyleLink w:val="ImportedStyle3"/>
  </w:abstractNum>
  <w:abstractNum w:abstractNumId="1" w15:restartNumberingAfterBreak="0">
    <w:nsid w:val="0A3837C8"/>
    <w:multiLevelType w:val="hybridMultilevel"/>
    <w:tmpl w:val="6A5267D0"/>
    <w:styleLink w:val="ImportedStyle6"/>
    <w:lvl w:ilvl="0" w:tplc="0F92BBD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00616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1E17F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2C26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609CB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34A8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50CF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BE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3A582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E8A3CE7"/>
    <w:multiLevelType w:val="hybridMultilevel"/>
    <w:tmpl w:val="D90AD488"/>
    <w:lvl w:ilvl="0" w:tplc="624C52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70883"/>
    <w:multiLevelType w:val="hybridMultilevel"/>
    <w:tmpl w:val="60203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A11D5"/>
    <w:multiLevelType w:val="hybridMultilevel"/>
    <w:tmpl w:val="AFEC9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827C1"/>
    <w:multiLevelType w:val="hybridMultilevel"/>
    <w:tmpl w:val="E01AE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D5B85"/>
    <w:multiLevelType w:val="hybridMultilevel"/>
    <w:tmpl w:val="7DBC2908"/>
    <w:styleLink w:val="ImportedStyle3"/>
    <w:lvl w:ilvl="0" w:tplc="7BC80F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7EA8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D20F7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7E92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AC3C1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8CDC7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C84B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AAD7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82DF7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1B9717B"/>
    <w:multiLevelType w:val="hybridMultilevel"/>
    <w:tmpl w:val="4B241D46"/>
    <w:numStyleLink w:val="ImportedStyle4"/>
  </w:abstractNum>
  <w:abstractNum w:abstractNumId="8" w15:restartNumberingAfterBreak="0">
    <w:nsid w:val="77E4438C"/>
    <w:multiLevelType w:val="hybridMultilevel"/>
    <w:tmpl w:val="6A5267D0"/>
    <w:numStyleLink w:val="ImportedStyle6"/>
  </w:abstractNum>
  <w:abstractNum w:abstractNumId="9" w15:restartNumberingAfterBreak="0">
    <w:nsid w:val="783979A9"/>
    <w:multiLevelType w:val="hybridMultilevel"/>
    <w:tmpl w:val="4B241D46"/>
    <w:styleLink w:val="ImportedStyle4"/>
    <w:lvl w:ilvl="0" w:tplc="85CC6E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FE8AB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9E165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2818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2050C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368E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7ACB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06E2A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86E3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3MTI2MQeSBgbmBko6SsGpxcWZ+XkgBWa1AFILQtEsAAAA"/>
  </w:docVars>
  <w:rsids>
    <w:rsidRoot w:val="008917CC"/>
    <w:rsid w:val="00021483"/>
    <w:rsid w:val="00034ACE"/>
    <w:rsid w:val="00043890"/>
    <w:rsid w:val="00074A56"/>
    <w:rsid w:val="000879E3"/>
    <w:rsid w:val="000B4154"/>
    <w:rsid w:val="000C3CBB"/>
    <w:rsid w:val="000E4FD0"/>
    <w:rsid w:val="000F1493"/>
    <w:rsid w:val="00101120"/>
    <w:rsid w:val="001422FA"/>
    <w:rsid w:val="001608EE"/>
    <w:rsid w:val="001719F4"/>
    <w:rsid w:val="00185A5E"/>
    <w:rsid w:val="0019578E"/>
    <w:rsid w:val="001A37CA"/>
    <w:rsid w:val="001F6F94"/>
    <w:rsid w:val="002040E5"/>
    <w:rsid w:val="00211F38"/>
    <w:rsid w:val="0028724E"/>
    <w:rsid w:val="002914C5"/>
    <w:rsid w:val="002B6302"/>
    <w:rsid w:val="002C3D77"/>
    <w:rsid w:val="00325051"/>
    <w:rsid w:val="00330DA3"/>
    <w:rsid w:val="00334953"/>
    <w:rsid w:val="00355E47"/>
    <w:rsid w:val="00376725"/>
    <w:rsid w:val="00381821"/>
    <w:rsid w:val="003A12DD"/>
    <w:rsid w:val="003C24F5"/>
    <w:rsid w:val="004209FC"/>
    <w:rsid w:val="00422F1B"/>
    <w:rsid w:val="00431D03"/>
    <w:rsid w:val="0043742A"/>
    <w:rsid w:val="004447A3"/>
    <w:rsid w:val="004501D9"/>
    <w:rsid w:val="004862A9"/>
    <w:rsid w:val="00487E07"/>
    <w:rsid w:val="004B5815"/>
    <w:rsid w:val="004F12C8"/>
    <w:rsid w:val="00503725"/>
    <w:rsid w:val="0051258B"/>
    <w:rsid w:val="005456F9"/>
    <w:rsid w:val="00561D51"/>
    <w:rsid w:val="005A0139"/>
    <w:rsid w:val="005A43EF"/>
    <w:rsid w:val="005C5C31"/>
    <w:rsid w:val="005D2552"/>
    <w:rsid w:val="005E17F7"/>
    <w:rsid w:val="00670F55"/>
    <w:rsid w:val="006B78C2"/>
    <w:rsid w:val="006C021A"/>
    <w:rsid w:val="00736C06"/>
    <w:rsid w:val="007634E0"/>
    <w:rsid w:val="00782B02"/>
    <w:rsid w:val="007A4062"/>
    <w:rsid w:val="007B2BE5"/>
    <w:rsid w:val="00841A34"/>
    <w:rsid w:val="0085591A"/>
    <w:rsid w:val="00861795"/>
    <w:rsid w:val="008917CC"/>
    <w:rsid w:val="008C3F46"/>
    <w:rsid w:val="00902E36"/>
    <w:rsid w:val="009104B8"/>
    <w:rsid w:val="009335A5"/>
    <w:rsid w:val="00934367"/>
    <w:rsid w:val="0096564E"/>
    <w:rsid w:val="0098509A"/>
    <w:rsid w:val="009B399F"/>
    <w:rsid w:val="009F4105"/>
    <w:rsid w:val="00A20273"/>
    <w:rsid w:val="00A21642"/>
    <w:rsid w:val="00A22773"/>
    <w:rsid w:val="00A3248E"/>
    <w:rsid w:val="00A3734F"/>
    <w:rsid w:val="00A81D22"/>
    <w:rsid w:val="00A82A48"/>
    <w:rsid w:val="00AF77FB"/>
    <w:rsid w:val="00B32B2A"/>
    <w:rsid w:val="00B64933"/>
    <w:rsid w:val="00B6701A"/>
    <w:rsid w:val="00B744CA"/>
    <w:rsid w:val="00BC3211"/>
    <w:rsid w:val="00C10188"/>
    <w:rsid w:val="00C17306"/>
    <w:rsid w:val="00C263BC"/>
    <w:rsid w:val="00C51F32"/>
    <w:rsid w:val="00C543B6"/>
    <w:rsid w:val="00C745B2"/>
    <w:rsid w:val="00C8724A"/>
    <w:rsid w:val="00C939D3"/>
    <w:rsid w:val="00CB5BC7"/>
    <w:rsid w:val="00CD2F0F"/>
    <w:rsid w:val="00CE145A"/>
    <w:rsid w:val="00D15297"/>
    <w:rsid w:val="00D36489"/>
    <w:rsid w:val="00D615CA"/>
    <w:rsid w:val="00D77E39"/>
    <w:rsid w:val="00E55F7E"/>
    <w:rsid w:val="00E71196"/>
    <w:rsid w:val="00E854D1"/>
    <w:rsid w:val="00E85B3A"/>
    <w:rsid w:val="00EA4690"/>
    <w:rsid w:val="00EC3821"/>
    <w:rsid w:val="00EE3302"/>
    <w:rsid w:val="00F02CB4"/>
    <w:rsid w:val="00F11291"/>
    <w:rsid w:val="00F21B33"/>
    <w:rsid w:val="00F32E58"/>
    <w:rsid w:val="00F42F1E"/>
    <w:rsid w:val="00F43428"/>
    <w:rsid w:val="00F60567"/>
    <w:rsid w:val="00F97260"/>
    <w:rsid w:val="00FF6236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5CA61"/>
  <w15:chartTrackingRefBased/>
  <w15:docId w15:val="{F9AC8C5F-504D-4F0E-BFFE-ACE32771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335A5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4B581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A469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entury Old Style Std" w:eastAsia="Century Old Style Std" w:hAnsi="Century Old Style Std" w:cs="Century Old Style Std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6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690"/>
    <w:rPr>
      <w:rFonts w:ascii="Segoe UI" w:hAnsi="Segoe UI" w:cs="Segoe UI"/>
      <w:sz w:val="18"/>
      <w:szCs w:val="18"/>
    </w:rPr>
  </w:style>
  <w:style w:type="character" w:styleId="PageNumber">
    <w:name w:val="page number"/>
    <w:rsid w:val="000F1493"/>
  </w:style>
  <w:style w:type="paragraph" w:styleId="ListParagraph">
    <w:name w:val="List Paragraph"/>
    <w:qFormat/>
    <w:rsid w:val="000F149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290"/>
    </w:pPr>
    <w:rPr>
      <w:rFonts w:ascii="Century Old Style Std" w:eastAsia="Century Old Style Std" w:hAnsi="Century Old Style Std" w:cs="Century Old Style Std"/>
      <w:color w:val="000000"/>
      <w:u w:color="000000"/>
      <w:bdr w:val="nil"/>
    </w:rPr>
  </w:style>
  <w:style w:type="numbering" w:customStyle="1" w:styleId="ImportedStyle3">
    <w:name w:val="Imported Style 3"/>
    <w:rsid w:val="000F1493"/>
    <w:pPr>
      <w:numPr>
        <w:numId w:val="1"/>
      </w:numPr>
    </w:pPr>
  </w:style>
  <w:style w:type="numbering" w:customStyle="1" w:styleId="ImportedStyle4">
    <w:name w:val="Imported Style 4"/>
    <w:rsid w:val="007A4062"/>
    <w:pPr>
      <w:numPr>
        <w:numId w:val="3"/>
      </w:numPr>
    </w:pPr>
  </w:style>
  <w:style w:type="paragraph" w:styleId="CommentText">
    <w:name w:val="annotation text"/>
    <w:link w:val="CommentTextChar"/>
    <w:rsid w:val="00561D5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entury Old Style Std" w:eastAsia="Century Old Style Std" w:hAnsi="Century Old Style Std" w:cs="Century Old Style Std"/>
      <w:color w:val="000000"/>
      <w:sz w:val="20"/>
      <w:szCs w:val="20"/>
      <w:u w:color="000000"/>
      <w:bdr w:val="nil"/>
    </w:rPr>
  </w:style>
  <w:style w:type="character" w:customStyle="1" w:styleId="CommentTextChar">
    <w:name w:val="Comment Text Char"/>
    <w:basedOn w:val="DefaultParagraphFont"/>
    <w:link w:val="CommentText"/>
    <w:rsid w:val="00561D51"/>
    <w:rPr>
      <w:rFonts w:ascii="Century Old Style Std" w:eastAsia="Century Old Style Std" w:hAnsi="Century Old Style Std" w:cs="Century Old Style Std"/>
      <w:color w:val="000000"/>
      <w:sz w:val="20"/>
      <w:szCs w:val="20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561D51"/>
    <w:rPr>
      <w:sz w:val="16"/>
      <w:szCs w:val="16"/>
    </w:rPr>
  </w:style>
  <w:style w:type="numbering" w:customStyle="1" w:styleId="ImportedStyle6">
    <w:name w:val="Imported Style 6"/>
    <w:rsid w:val="00043890"/>
    <w:pPr>
      <w:numPr>
        <w:numId w:val="5"/>
      </w:numPr>
    </w:pPr>
  </w:style>
  <w:style w:type="character" w:styleId="Strong">
    <w:name w:val="Strong"/>
    <w:basedOn w:val="DefaultParagraphFont"/>
    <w:uiPriority w:val="22"/>
    <w:qFormat/>
    <w:rsid w:val="00C10188"/>
    <w:rPr>
      <w:b/>
      <w:bCs/>
    </w:rPr>
  </w:style>
  <w:style w:type="character" w:styleId="Emphasis">
    <w:name w:val="Emphasis"/>
    <w:basedOn w:val="DefaultParagraphFont"/>
    <w:uiPriority w:val="20"/>
    <w:qFormat/>
    <w:rsid w:val="00C1018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19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b/>
      <w:bCs/>
      <w:color w:val="auto"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196"/>
    <w:rPr>
      <w:rFonts w:ascii="Calibri" w:eastAsia="Century Old Style Std" w:hAnsi="Calibri" w:cs="Calibri"/>
      <w:b/>
      <w:bCs/>
      <w:color w:val="000000"/>
      <w:sz w:val="20"/>
      <w:szCs w:val="20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841A3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1A3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5A43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1291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rsid w:val="00E55F7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B58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ark99mkfbsqa">
    <w:name w:val="mark99mkfbsqa"/>
    <w:basedOn w:val="DefaultParagraphFont"/>
    <w:rsid w:val="004B5815"/>
  </w:style>
  <w:style w:type="character" w:customStyle="1" w:styleId="markih5ki63zp">
    <w:name w:val="markih5ki63zp"/>
    <w:basedOn w:val="DefaultParagraphFont"/>
    <w:rsid w:val="004B5815"/>
  </w:style>
  <w:style w:type="character" w:customStyle="1" w:styleId="mark7gdhpjneg">
    <w:name w:val="mark7gdhpjneg"/>
    <w:basedOn w:val="DefaultParagraphFont"/>
    <w:rsid w:val="004B5815"/>
  </w:style>
  <w:style w:type="paragraph" w:styleId="NormalWeb">
    <w:name w:val="Normal (Web)"/>
    <w:basedOn w:val="Normal"/>
    <w:uiPriority w:val="99"/>
    <w:unhideWhenUsed/>
    <w:rsid w:val="004374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s@thehastingscente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hastingscenter.org/covid19-regional-ethics-guidelin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unications@thehastingscenter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Gilbert</dc:creator>
  <cp:keywords/>
  <dc:description/>
  <cp:lastModifiedBy>Julie Chibbaro</cp:lastModifiedBy>
  <cp:revision>2</cp:revision>
  <dcterms:created xsi:type="dcterms:W3CDTF">2021-03-01T17:43:00Z</dcterms:created>
  <dcterms:modified xsi:type="dcterms:W3CDTF">2021-03-01T17:43:00Z</dcterms:modified>
</cp:coreProperties>
</file>