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445" w:type="dxa"/>
        <w:tblCellSpacing w:w="0" w:type="dxa"/>
        <w:shd w:val="clear" w:color="auto" w:fill="FFFFFF"/>
        <w:tblCellMar>
          <w:left w:w="0" w:type="dxa"/>
          <w:right w:w="0" w:type="dxa"/>
        </w:tblCellMar>
        <w:tblLook w:val="04A0" w:firstRow="1" w:lastRow="0" w:firstColumn="1" w:lastColumn="0" w:noHBand="0" w:noVBand="1"/>
      </w:tblPr>
      <w:tblGrid>
        <w:gridCol w:w="8520"/>
      </w:tblGrid>
      <w:tr w:rsidR="004B5815" w:rsidRPr="004B5815" w14:paraId="04EBE137" w14:textId="77777777" w:rsidTr="004B5815">
        <w:trPr>
          <w:tblCellSpacing w:w="0" w:type="dxa"/>
        </w:trPr>
        <w:tc>
          <w:tcPr>
            <w:tcW w:w="0" w:type="auto"/>
            <w:shd w:val="clear" w:color="auto" w:fill="FFFFFF"/>
            <w:vAlign w:val="center"/>
            <w:hideMark/>
          </w:tcPr>
          <w:p w14:paraId="33D81D61" w14:textId="17908E6D" w:rsidR="004B5815" w:rsidRPr="004B5815" w:rsidRDefault="004B5815" w:rsidP="004B5815">
            <w:pPr>
              <w:rPr>
                <w:rFonts w:ascii="Segoe UI" w:eastAsia="Times New Roman" w:hAnsi="Segoe UI" w:cs="Segoe UI"/>
                <w:color w:val="201F1E"/>
                <w:sz w:val="23"/>
                <w:szCs w:val="23"/>
              </w:rPr>
            </w:pPr>
            <w:r>
              <w:rPr>
                <w:noProof/>
              </w:rPr>
              <w:drawing>
                <wp:inline distT="0" distB="0" distL="0" distR="0" wp14:anchorId="1FB4AEE3" wp14:editId="71A5F249">
                  <wp:extent cx="54102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10200" cy="876300"/>
                          </a:xfrm>
                          <a:prstGeom prst="rect">
                            <a:avLst/>
                          </a:prstGeom>
                        </pic:spPr>
                      </pic:pic>
                    </a:graphicData>
                  </a:graphic>
                </wp:inline>
              </w:drawing>
            </w:r>
          </w:p>
        </w:tc>
      </w:tr>
      <w:tr w:rsidR="004B5815" w:rsidRPr="004B5815" w14:paraId="7C7D04EE" w14:textId="77777777" w:rsidTr="004B5815">
        <w:trPr>
          <w:tblCellSpacing w:w="0" w:type="dxa"/>
        </w:trPr>
        <w:tc>
          <w:tcPr>
            <w:tcW w:w="0" w:type="auto"/>
            <w:shd w:val="clear" w:color="auto" w:fill="FFFFFF"/>
            <w:vAlign w:val="center"/>
            <w:hideMark/>
          </w:tcPr>
          <w:tbl>
            <w:tblPr>
              <w:tblW w:w="0" w:type="auto"/>
              <w:tblCellSpacing w:w="0" w:type="dxa"/>
              <w:tblCellMar>
                <w:top w:w="300" w:type="dxa"/>
                <w:left w:w="300" w:type="dxa"/>
                <w:bottom w:w="300" w:type="dxa"/>
                <w:right w:w="300" w:type="dxa"/>
              </w:tblCellMar>
              <w:tblLook w:val="04A0" w:firstRow="1" w:lastRow="0" w:firstColumn="1" w:lastColumn="0" w:noHBand="0" w:noVBand="1"/>
            </w:tblPr>
            <w:tblGrid>
              <w:gridCol w:w="8460"/>
            </w:tblGrid>
            <w:tr w:rsidR="004B5815" w:rsidRPr="004B5815" w14:paraId="65372A31" w14:textId="77777777">
              <w:trPr>
                <w:tblCellSpacing w:w="0" w:type="dxa"/>
              </w:trPr>
              <w:tc>
                <w:tcPr>
                  <w:tcW w:w="0" w:type="auto"/>
                  <w:vAlign w:val="center"/>
                  <w:hideMark/>
                </w:tcPr>
                <w:tbl>
                  <w:tblPr>
                    <w:tblW w:w="7860" w:type="dxa"/>
                    <w:tblCellSpacing w:w="7" w:type="dxa"/>
                    <w:tblCellMar>
                      <w:top w:w="15" w:type="dxa"/>
                      <w:left w:w="15" w:type="dxa"/>
                      <w:bottom w:w="15" w:type="dxa"/>
                      <w:right w:w="15" w:type="dxa"/>
                    </w:tblCellMar>
                    <w:tblLook w:val="04A0" w:firstRow="1" w:lastRow="0" w:firstColumn="1" w:lastColumn="0" w:noHBand="0" w:noVBand="1"/>
                  </w:tblPr>
                  <w:tblGrid>
                    <w:gridCol w:w="3930"/>
                    <w:gridCol w:w="3930"/>
                  </w:tblGrid>
                  <w:tr w:rsidR="004B5815" w:rsidRPr="004B5815" w14:paraId="657B0A96" w14:textId="77777777">
                    <w:trPr>
                      <w:tblCellSpacing w:w="7" w:type="dxa"/>
                    </w:trPr>
                    <w:tc>
                      <w:tcPr>
                        <w:tcW w:w="2500" w:type="pct"/>
                        <w:vAlign w:val="center"/>
                        <w:hideMark/>
                      </w:tcPr>
                      <w:p w14:paraId="682BBFB0" w14:textId="77777777" w:rsidR="004B5815" w:rsidRPr="004B5815" w:rsidRDefault="004B5815" w:rsidP="004B5815">
                        <w:pPr>
                          <w:rPr>
                            <w:rFonts w:ascii="Times New Roman" w:eastAsia="Times New Roman" w:hAnsi="Times New Roman" w:cs="Times New Roman"/>
                            <w:sz w:val="24"/>
                            <w:szCs w:val="24"/>
                          </w:rPr>
                        </w:pPr>
                        <w:r w:rsidRPr="004B5815">
                          <w:rPr>
                            <w:rFonts w:ascii="Arial" w:eastAsia="Times New Roman" w:hAnsi="Arial" w:cs="Arial"/>
                            <w:b/>
                            <w:bCs/>
                            <w:sz w:val="20"/>
                            <w:szCs w:val="20"/>
                            <w:bdr w:val="none" w:sz="0" w:space="0" w:color="auto" w:frame="1"/>
                          </w:rPr>
                          <w:t>PRESS RELEASE</w:t>
                        </w:r>
                      </w:p>
                    </w:tc>
                    <w:tc>
                      <w:tcPr>
                        <w:tcW w:w="2500" w:type="pct"/>
                        <w:vAlign w:val="center"/>
                        <w:hideMark/>
                      </w:tcPr>
                      <w:p w14:paraId="7165B26E" w14:textId="0AB19ACA" w:rsidR="004B5815" w:rsidRPr="004B5815" w:rsidRDefault="004B5815" w:rsidP="004B5815">
                        <w:pPr>
                          <w:jc w:val="right"/>
                          <w:rPr>
                            <w:rFonts w:ascii="Times New Roman" w:eastAsia="Times New Roman" w:hAnsi="Times New Roman" w:cs="Times New Roman"/>
                            <w:sz w:val="24"/>
                            <w:szCs w:val="24"/>
                          </w:rPr>
                        </w:pPr>
                        <w:r w:rsidRPr="004B5815">
                          <w:rPr>
                            <w:rFonts w:ascii="inherit" w:eastAsia="Times New Roman" w:hAnsi="inherit" w:cs="Arial"/>
                            <w:sz w:val="20"/>
                            <w:szCs w:val="20"/>
                            <w:bdr w:val="none" w:sz="0" w:space="0" w:color="auto" w:frame="1"/>
                          </w:rPr>
                          <w:t xml:space="preserve">Contact: </w:t>
                        </w:r>
                        <w:r>
                          <w:rPr>
                            <w:rFonts w:ascii="inherit" w:eastAsia="Times New Roman" w:hAnsi="inherit" w:cs="Arial"/>
                            <w:sz w:val="20"/>
                            <w:szCs w:val="20"/>
                            <w:bdr w:val="none" w:sz="0" w:space="0" w:color="auto" w:frame="1"/>
                          </w:rPr>
                          <w:t>Susan Gilbert</w:t>
                        </w:r>
                      </w:p>
                    </w:tc>
                  </w:tr>
                  <w:tr w:rsidR="004B5815" w:rsidRPr="004B5815" w14:paraId="2496E9B2" w14:textId="77777777">
                    <w:trPr>
                      <w:tblCellSpacing w:w="7" w:type="dxa"/>
                    </w:trPr>
                    <w:tc>
                      <w:tcPr>
                        <w:tcW w:w="2500" w:type="pct"/>
                        <w:vAlign w:val="center"/>
                        <w:hideMark/>
                      </w:tcPr>
                      <w:p w14:paraId="3C521A99" w14:textId="77777777" w:rsidR="004B5815" w:rsidRPr="004B5815" w:rsidRDefault="004B5815" w:rsidP="004B5815">
                        <w:pPr>
                          <w:rPr>
                            <w:rFonts w:ascii="Times New Roman" w:eastAsia="Times New Roman" w:hAnsi="Times New Roman" w:cs="Times New Roman"/>
                            <w:sz w:val="24"/>
                            <w:szCs w:val="24"/>
                          </w:rPr>
                        </w:pPr>
                        <w:r w:rsidRPr="004B5815">
                          <w:rPr>
                            <w:rFonts w:ascii="inherit" w:eastAsia="Times New Roman" w:hAnsi="inherit" w:cs="Arial"/>
                            <w:sz w:val="20"/>
                            <w:szCs w:val="20"/>
                            <w:bdr w:val="none" w:sz="0" w:space="0" w:color="auto" w:frame="1"/>
                          </w:rPr>
                          <w:t>For Immediate Release</w:t>
                        </w:r>
                      </w:p>
                    </w:tc>
                    <w:tc>
                      <w:tcPr>
                        <w:tcW w:w="2500" w:type="pct"/>
                        <w:vAlign w:val="center"/>
                        <w:hideMark/>
                      </w:tcPr>
                      <w:p w14:paraId="34D32DF5" w14:textId="2303D7ED" w:rsidR="004B5815" w:rsidRPr="004B5815" w:rsidRDefault="004B5815" w:rsidP="004B5815">
                        <w:pPr>
                          <w:jc w:val="right"/>
                          <w:rPr>
                            <w:rFonts w:ascii="Times New Roman" w:eastAsia="Times New Roman" w:hAnsi="Times New Roman" w:cs="Times New Roman"/>
                            <w:sz w:val="24"/>
                            <w:szCs w:val="24"/>
                          </w:rPr>
                        </w:pPr>
                        <w:r w:rsidRPr="004B5815">
                          <w:rPr>
                            <w:rFonts w:ascii="inherit" w:eastAsia="Times New Roman" w:hAnsi="inherit" w:cs="Arial"/>
                            <w:sz w:val="20"/>
                            <w:szCs w:val="20"/>
                            <w:bdr w:val="none" w:sz="0" w:space="0" w:color="auto" w:frame="1"/>
                          </w:rPr>
                          <w:t>1-845-424-4040, ext. 2</w:t>
                        </w:r>
                        <w:r>
                          <w:rPr>
                            <w:rFonts w:ascii="inherit" w:eastAsia="Times New Roman" w:hAnsi="inherit" w:cs="Arial"/>
                            <w:sz w:val="20"/>
                            <w:szCs w:val="20"/>
                            <w:bdr w:val="none" w:sz="0" w:space="0" w:color="auto" w:frame="1"/>
                          </w:rPr>
                          <w:t>44</w:t>
                        </w:r>
                      </w:p>
                    </w:tc>
                  </w:tr>
                  <w:tr w:rsidR="004B5815" w:rsidRPr="004B5815" w14:paraId="4A3FEC6A" w14:textId="77777777">
                    <w:trPr>
                      <w:tblCellSpacing w:w="7" w:type="dxa"/>
                    </w:trPr>
                    <w:tc>
                      <w:tcPr>
                        <w:tcW w:w="2500" w:type="pct"/>
                        <w:vAlign w:val="center"/>
                        <w:hideMark/>
                      </w:tcPr>
                      <w:p w14:paraId="4C901566" w14:textId="77777777" w:rsidR="004B5815" w:rsidRPr="004B5815" w:rsidRDefault="004B5815" w:rsidP="004B5815">
                        <w:pPr>
                          <w:rPr>
                            <w:rFonts w:ascii="Times New Roman" w:eastAsia="Times New Roman" w:hAnsi="Times New Roman" w:cs="Times New Roman"/>
                            <w:sz w:val="24"/>
                            <w:szCs w:val="24"/>
                          </w:rPr>
                        </w:pPr>
                        <w:r w:rsidRPr="004B5815">
                          <w:rPr>
                            <w:rFonts w:ascii="Times New Roman" w:eastAsia="Times New Roman" w:hAnsi="Times New Roman" w:cs="Times New Roman"/>
                            <w:sz w:val="24"/>
                            <w:szCs w:val="24"/>
                          </w:rPr>
                          <w:t> </w:t>
                        </w:r>
                      </w:p>
                    </w:tc>
                    <w:tc>
                      <w:tcPr>
                        <w:tcW w:w="2500" w:type="pct"/>
                        <w:vAlign w:val="center"/>
                        <w:hideMark/>
                      </w:tcPr>
                      <w:p w14:paraId="4E91CBB0" w14:textId="6B6794F7" w:rsidR="004B5815" w:rsidRPr="004B5815" w:rsidRDefault="00A67FAE" w:rsidP="004B5815">
                        <w:pPr>
                          <w:jc w:val="right"/>
                          <w:rPr>
                            <w:rFonts w:ascii="Times New Roman" w:eastAsia="Times New Roman" w:hAnsi="Times New Roman" w:cs="Times New Roman"/>
                            <w:sz w:val="24"/>
                            <w:szCs w:val="24"/>
                          </w:rPr>
                        </w:pPr>
                        <w:hyperlink r:id="rId6" w:history="1">
                          <w:r w:rsidR="004B5815" w:rsidRPr="00613DAD">
                            <w:rPr>
                              <w:rStyle w:val="Hyperlink"/>
                              <w:rFonts w:ascii="inherit" w:eastAsia="Times New Roman" w:hAnsi="inherit" w:cs="Times New Roman"/>
                              <w:sz w:val="17"/>
                              <w:szCs w:val="17"/>
                              <w:bdr w:val="none" w:sz="0" w:space="0" w:color="auto" w:frame="1"/>
                            </w:rPr>
                            <w:t>communications@thehastingscenter.org</w:t>
                          </w:r>
                        </w:hyperlink>
                      </w:p>
                    </w:tc>
                  </w:tr>
                  <w:tr w:rsidR="004B5815" w:rsidRPr="004B5815" w14:paraId="48D08C29" w14:textId="77777777">
                    <w:trPr>
                      <w:trHeight w:val="450"/>
                      <w:tblCellSpacing w:w="7" w:type="dxa"/>
                    </w:trPr>
                    <w:tc>
                      <w:tcPr>
                        <w:tcW w:w="2500" w:type="pct"/>
                        <w:gridSpan w:val="2"/>
                        <w:vAlign w:val="center"/>
                        <w:hideMark/>
                      </w:tcPr>
                      <w:p w14:paraId="115D714F" w14:textId="77777777" w:rsidR="004B5815" w:rsidRPr="004B5815" w:rsidRDefault="004B5815" w:rsidP="004B5815">
                        <w:pPr>
                          <w:rPr>
                            <w:rFonts w:ascii="Times New Roman" w:eastAsia="Times New Roman" w:hAnsi="Times New Roman" w:cs="Times New Roman"/>
                            <w:sz w:val="24"/>
                            <w:szCs w:val="24"/>
                          </w:rPr>
                        </w:pPr>
                        <w:r w:rsidRPr="004B5815">
                          <w:rPr>
                            <w:rFonts w:ascii="Arial" w:eastAsia="Times New Roman" w:hAnsi="Arial" w:cs="Arial"/>
                            <w:sz w:val="20"/>
                            <w:szCs w:val="20"/>
                            <w:bdr w:val="none" w:sz="0" w:space="0" w:color="auto" w:frame="1"/>
                          </w:rPr>
                          <w:t> </w:t>
                        </w:r>
                      </w:p>
                    </w:tc>
                  </w:tr>
                  <w:tr w:rsidR="004B5815" w:rsidRPr="004B5815" w14:paraId="5A5BAA47" w14:textId="77777777">
                    <w:trPr>
                      <w:tblCellSpacing w:w="7" w:type="dxa"/>
                    </w:trPr>
                    <w:tc>
                      <w:tcPr>
                        <w:tcW w:w="2500" w:type="pct"/>
                        <w:gridSpan w:val="2"/>
                        <w:vAlign w:val="center"/>
                        <w:hideMark/>
                      </w:tcPr>
                      <w:p w14:paraId="6D37825E" w14:textId="6B22F9BA" w:rsidR="004B5815" w:rsidRPr="00736C06" w:rsidRDefault="004B5815" w:rsidP="004B5815">
                        <w:pPr>
                          <w:rPr>
                            <w:rFonts w:ascii="Times New Roman" w:eastAsia="Times New Roman" w:hAnsi="Times New Roman" w:cs="Times New Roman"/>
                            <w:color w:val="000000"/>
                            <w:sz w:val="24"/>
                            <w:szCs w:val="24"/>
                          </w:rPr>
                        </w:pPr>
                        <w:r w:rsidRPr="004B5815">
                          <w:rPr>
                            <w:rFonts w:ascii="Times New Roman" w:eastAsia="Times New Roman" w:hAnsi="Times New Roman" w:cs="Times New Roman"/>
                            <w:b/>
                            <w:bCs/>
                            <w:sz w:val="24"/>
                            <w:szCs w:val="24"/>
                          </w:rPr>
                          <w:t xml:space="preserve">New Covid-19 Ethics Guidance </w:t>
                        </w:r>
                        <w:r w:rsidR="00211F38">
                          <w:rPr>
                            <w:rFonts w:ascii="Times New Roman" w:eastAsia="Times New Roman" w:hAnsi="Times New Roman" w:cs="Times New Roman"/>
                            <w:b/>
                            <w:bCs/>
                            <w:sz w:val="24"/>
                            <w:szCs w:val="24"/>
                          </w:rPr>
                          <w:t>Helps Clinicians Prioritize Regional Public Health When Making Individual Treatment Decisions</w:t>
                        </w:r>
                      </w:p>
                      <w:p w14:paraId="54A5A090" w14:textId="77777777" w:rsidR="004B5815" w:rsidRPr="00185A5E" w:rsidRDefault="004B5815" w:rsidP="004B5815">
                        <w:pPr>
                          <w:pStyle w:val="Body"/>
                          <w:rPr>
                            <w:rFonts w:ascii="Times New Roman" w:hAnsi="Times New Roman" w:cs="Times New Roman"/>
                            <w:sz w:val="24"/>
                            <w:szCs w:val="24"/>
                          </w:rPr>
                        </w:pPr>
                        <w:bookmarkStart w:id="0" w:name="_Hlk35248151"/>
                      </w:p>
                      <w:bookmarkEnd w:id="0"/>
                      <w:p w14:paraId="039DDE09" w14:textId="3D3B7440" w:rsidR="004B5815" w:rsidRPr="004B5815" w:rsidRDefault="00211F38" w:rsidP="004B5815">
                        <w:pP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Hastings Center recommendations grounded in real-time ongoing collaborations</w:t>
                        </w:r>
                      </w:p>
                    </w:tc>
                  </w:tr>
                </w:tbl>
                <w:p w14:paraId="09A049AD" w14:textId="77777777" w:rsidR="004B5815" w:rsidRPr="004B5815" w:rsidRDefault="004B5815" w:rsidP="004B5815">
                  <w:pPr>
                    <w:rPr>
                      <w:rFonts w:ascii="Times New Roman" w:eastAsia="Times New Roman" w:hAnsi="Times New Roman" w:cs="Times New Roman"/>
                      <w:sz w:val="24"/>
                      <w:szCs w:val="24"/>
                    </w:rPr>
                  </w:pPr>
                </w:p>
              </w:tc>
            </w:tr>
          </w:tbl>
          <w:p w14:paraId="105A8A6C" w14:textId="77777777" w:rsidR="004B5815" w:rsidRPr="004B5815" w:rsidRDefault="004B5815" w:rsidP="004B5815">
            <w:pPr>
              <w:rPr>
                <w:rFonts w:ascii="Segoe UI" w:eastAsia="Times New Roman" w:hAnsi="Segoe UI" w:cs="Segoe UI"/>
                <w:color w:val="201F1E"/>
                <w:sz w:val="23"/>
                <w:szCs w:val="23"/>
              </w:rPr>
            </w:pPr>
          </w:p>
        </w:tc>
      </w:tr>
    </w:tbl>
    <w:p w14:paraId="0B4BE353" w14:textId="30AAAED4" w:rsidR="002914C5" w:rsidRDefault="00F21B33" w:rsidP="001F6F94">
      <w:pPr>
        <w:pStyle w:val="Body"/>
        <w:rPr>
          <w:rFonts w:ascii="Times New Roman" w:hAnsi="Times New Roman" w:cs="Times New Roman"/>
          <w:sz w:val="24"/>
          <w:szCs w:val="24"/>
        </w:rPr>
      </w:pPr>
      <w:r>
        <w:rPr>
          <w:rFonts w:ascii="Times New Roman" w:eastAsia="Times New Roman" w:hAnsi="Times New Roman" w:cs="Times New Roman"/>
          <w:iCs/>
          <w:sz w:val="24"/>
          <w:szCs w:val="24"/>
        </w:rPr>
        <w:t xml:space="preserve">NEW YORK, May 4 -- </w:t>
      </w:r>
      <w:r w:rsidR="001F6F94" w:rsidRPr="00736C06">
        <w:rPr>
          <w:rFonts w:ascii="Times New Roman" w:hAnsi="Times New Roman" w:cs="Times New Roman"/>
          <w:sz w:val="24"/>
          <w:szCs w:val="24"/>
        </w:rPr>
        <w:t xml:space="preserve">The Hastings Center </w:t>
      </w:r>
      <w:r w:rsidR="0028724E">
        <w:rPr>
          <w:rFonts w:ascii="Times New Roman" w:hAnsi="Times New Roman" w:cs="Times New Roman"/>
          <w:sz w:val="24"/>
          <w:szCs w:val="24"/>
        </w:rPr>
        <w:t xml:space="preserve">today </w:t>
      </w:r>
      <w:r w:rsidR="003C24F5">
        <w:rPr>
          <w:rFonts w:ascii="Times New Roman" w:hAnsi="Times New Roman" w:cs="Times New Roman"/>
          <w:sz w:val="24"/>
          <w:szCs w:val="24"/>
        </w:rPr>
        <w:t>released</w:t>
      </w:r>
      <w:r w:rsidR="001F6F94" w:rsidRPr="00736C06">
        <w:rPr>
          <w:rFonts w:ascii="Times New Roman" w:hAnsi="Times New Roman" w:cs="Times New Roman"/>
          <w:i/>
          <w:iCs/>
          <w:sz w:val="24"/>
          <w:szCs w:val="24"/>
        </w:rPr>
        <w:t xml:space="preserve"> </w:t>
      </w:r>
      <w:hyperlink r:id="rId7" w:history="1">
        <w:r w:rsidR="001F6F94" w:rsidRPr="00A21642">
          <w:rPr>
            <w:rStyle w:val="Hyperlink"/>
            <w:rFonts w:ascii="Times New Roman" w:hAnsi="Times New Roman" w:cs="Times New Roman"/>
            <w:sz w:val="24"/>
            <w:szCs w:val="24"/>
          </w:rPr>
          <w:t xml:space="preserve">new </w:t>
        </w:r>
        <w:r w:rsidR="0028724E" w:rsidRPr="00A21642">
          <w:rPr>
            <w:rStyle w:val="Hyperlink"/>
            <w:rFonts w:ascii="Times New Roman" w:hAnsi="Times New Roman" w:cs="Times New Roman"/>
            <w:sz w:val="24"/>
            <w:szCs w:val="24"/>
          </w:rPr>
          <w:t xml:space="preserve">ethical </w:t>
        </w:r>
        <w:r w:rsidR="001F6F94" w:rsidRPr="00A21642">
          <w:rPr>
            <w:rStyle w:val="Hyperlink"/>
            <w:rFonts w:ascii="Times New Roman" w:hAnsi="Times New Roman" w:cs="Times New Roman"/>
            <w:sz w:val="24"/>
            <w:szCs w:val="24"/>
          </w:rPr>
          <w:t>guidance</w:t>
        </w:r>
      </w:hyperlink>
      <w:r w:rsidR="001F6F94">
        <w:rPr>
          <w:rFonts w:ascii="Times New Roman" w:hAnsi="Times New Roman" w:cs="Times New Roman"/>
          <w:sz w:val="24"/>
          <w:szCs w:val="24"/>
        </w:rPr>
        <w:t xml:space="preserve"> </w:t>
      </w:r>
      <w:r w:rsidR="001F6F94" w:rsidRPr="00736C06">
        <w:rPr>
          <w:rFonts w:ascii="Times New Roman" w:hAnsi="Times New Roman" w:cs="Times New Roman"/>
          <w:sz w:val="24"/>
          <w:szCs w:val="24"/>
        </w:rPr>
        <w:t>for hospitals and other health care organizations responding to Covid-19</w:t>
      </w:r>
      <w:r w:rsidR="0028724E">
        <w:rPr>
          <w:rFonts w:ascii="Times New Roman" w:hAnsi="Times New Roman" w:cs="Times New Roman"/>
          <w:sz w:val="24"/>
          <w:szCs w:val="24"/>
        </w:rPr>
        <w:t>.</w:t>
      </w:r>
      <w:r w:rsidR="004501D9">
        <w:rPr>
          <w:rFonts w:ascii="Times New Roman" w:hAnsi="Times New Roman" w:cs="Times New Roman"/>
          <w:sz w:val="24"/>
          <w:szCs w:val="24"/>
        </w:rPr>
        <w:t xml:space="preserve"> The recommendations, produced by a</w:t>
      </w:r>
      <w:r w:rsidR="00CD2F0F">
        <w:rPr>
          <w:rFonts w:ascii="Times New Roman" w:hAnsi="Times New Roman" w:cs="Times New Roman"/>
          <w:sz w:val="24"/>
          <w:szCs w:val="24"/>
        </w:rPr>
        <w:t xml:space="preserve">n </w:t>
      </w:r>
      <w:r w:rsidR="004501D9">
        <w:rPr>
          <w:rFonts w:ascii="Times New Roman" w:hAnsi="Times New Roman" w:cs="Times New Roman"/>
          <w:sz w:val="24"/>
          <w:szCs w:val="24"/>
        </w:rPr>
        <w:t xml:space="preserve">advisory group </w:t>
      </w:r>
      <w:r w:rsidR="005C5C31">
        <w:rPr>
          <w:rFonts w:ascii="Times New Roman" w:hAnsi="Times New Roman" w:cs="Times New Roman"/>
          <w:sz w:val="24"/>
          <w:szCs w:val="24"/>
        </w:rPr>
        <w:t xml:space="preserve">of </w:t>
      </w:r>
      <w:r w:rsidR="004862A9">
        <w:rPr>
          <w:rFonts w:ascii="Times New Roman" w:hAnsi="Times New Roman" w:cs="Times New Roman"/>
          <w:sz w:val="24"/>
          <w:szCs w:val="24"/>
        </w:rPr>
        <w:t xml:space="preserve">leading </w:t>
      </w:r>
      <w:r w:rsidR="00CD2F0F">
        <w:rPr>
          <w:rFonts w:ascii="Times New Roman" w:hAnsi="Times New Roman" w:cs="Times New Roman"/>
          <w:sz w:val="24"/>
          <w:szCs w:val="24"/>
        </w:rPr>
        <w:t>health care ethicists</w:t>
      </w:r>
      <w:r w:rsidR="004862A9">
        <w:rPr>
          <w:rFonts w:ascii="Times New Roman" w:hAnsi="Times New Roman" w:cs="Times New Roman"/>
          <w:sz w:val="24"/>
          <w:szCs w:val="24"/>
        </w:rPr>
        <w:t xml:space="preserve">, </w:t>
      </w:r>
      <w:r w:rsidR="00CD2F0F">
        <w:rPr>
          <w:rFonts w:ascii="Times New Roman" w:hAnsi="Times New Roman" w:cs="Times New Roman"/>
          <w:sz w:val="24"/>
          <w:szCs w:val="24"/>
        </w:rPr>
        <w:t>ensur</w:t>
      </w:r>
      <w:r w:rsidR="00D15297">
        <w:rPr>
          <w:rFonts w:ascii="Times New Roman" w:hAnsi="Times New Roman" w:cs="Times New Roman"/>
          <w:sz w:val="24"/>
          <w:szCs w:val="24"/>
        </w:rPr>
        <w:t>e</w:t>
      </w:r>
      <w:r w:rsidR="00CD2F0F">
        <w:rPr>
          <w:rFonts w:ascii="Times New Roman" w:hAnsi="Times New Roman" w:cs="Times New Roman"/>
          <w:sz w:val="24"/>
          <w:szCs w:val="24"/>
        </w:rPr>
        <w:t xml:space="preserve"> clinicians take regional public health concerns into account when making patient-specific treatment decisions. They are the product of insights from real-time</w:t>
      </w:r>
      <w:r w:rsidR="00E854D1">
        <w:rPr>
          <w:rFonts w:ascii="Times New Roman" w:hAnsi="Times New Roman" w:cs="Times New Roman"/>
          <w:sz w:val="24"/>
          <w:szCs w:val="24"/>
        </w:rPr>
        <w:t>, ongoing</w:t>
      </w:r>
      <w:r w:rsidR="00CD2F0F">
        <w:rPr>
          <w:rFonts w:ascii="Times New Roman" w:hAnsi="Times New Roman" w:cs="Times New Roman"/>
          <w:sz w:val="24"/>
          <w:szCs w:val="24"/>
        </w:rPr>
        <w:t xml:space="preserve"> collaborations across the United States.</w:t>
      </w:r>
    </w:p>
    <w:p w14:paraId="3BF75BDA" w14:textId="77777777" w:rsidR="006224D8" w:rsidRDefault="006224D8" w:rsidP="006224D8">
      <w:pPr>
        <w:pStyle w:val="Body"/>
        <w:rPr>
          <w:rFonts w:ascii="Times New Roman" w:hAnsi="Times New Roman" w:cs="Times New Roman"/>
          <w:sz w:val="24"/>
          <w:szCs w:val="24"/>
        </w:rPr>
      </w:pPr>
    </w:p>
    <w:p w14:paraId="0D09AA3D" w14:textId="6E1F931E" w:rsidR="006224D8" w:rsidRPr="006224D8" w:rsidRDefault="006224D8" w:rsidP="006224D8">
      <w:pPr>
        <w:pStyle w:val="Body"/>
        <w:rPr>
          <w:rFonts w:ascii="Times New Roman" w:hAnsi="Times New Roman" w:cs="Times New Roman"/>
          <w:sz w:val="24"/>
          <w:szCs w:val="24"/>
        </w:rPr>
      </w:pPr>
      <w:r>
        <w:rPr>
          <w:rFonts w:ascii="Times New Roman" w:hAnsi="Times New Roman" w:cs="Times New Roman"/>
          <w:sz w:val="24"/>
          <w:szCs w:val="24"/>
        </w:rPr>
        <w:t>The guidance includes</w:t>
      </w:r>
      <w:r w:rsidRPr="006224D8">
        <w:rPr>
          <w:rFonts w:ascii="Times New Roman" w:hAnsi="Times New Roman" w:cs="Times New Roman"/>
          <w:sz w:val="24"/>
          <w:szCs w:val="24"/>
        </w:rPr>
        <w:t>:</w:t>
      </w:r>
      <w:r>
        <w:rPr>
          <w:rFonts w:ascii="Times New Roman" w:hAnsi="Times New Roman" w:cs="Times New Roman"/>
          <w:sz w:val="24"/>
          <w:szCs w:val="24"/>
        </w:rPr>
        <w:br/>
      </w:r>
    </w:p>
    <w:p w14:paraId="46D4AACB" w14:textId="54C73C60" w:rsidR="006224D8" w:rsidRPr="006224D8" w:rsidRDefault="006224D8" w:rsidP="006224D8">
      <w:pPr>
        <w:pStyle w:val="Body"/>
        <w:numPr>
          <w:ilvl w:val="0"/>
          <w:numId w:val="10"/>
        </w:numPr>
        <w:rPr>
          <w:rFonts w:ascii="Times New Roman" w:hAnsi="Times New Roman" w:cs="Times New Roman"/>
          <w:sz w:val="24"/>
          <w:szCs w:val="24"/>
        </w:rPr>
      </w:pPr>
      <w:r w:rsidRPr="006224D8">
        <w:rPr>
          <w:rFonts w:ascii="Times New Roman" w:hAnsi="Times New Roman" w:cs="Times New Roman"/>
          <w:sz w:val="24"/>
          <w:szCs w:val="24"/>
        </w:rPr>
        <w:t>coordinated efforts to promote equity in PPE allocation across Covid-19 care settings</w:t>
      </w:r>
      <w:r>
        <w:rPr>
          <w:rFonts w:ascii="Times New Roman" w:hAnsi="Times New Roman" w:cs="Times New Roman"/>
          <w:sz w:val="24"/>
          <w:szCs w:val="24"/>
        </w:rPr>
        <w:t xml:space="preserve"> </w:t>
      </w:r>
      <w:r w:rsidRPr="006224D8">
        <w:rPr>
          <w:rFonts w:ascii="Times New Roman" w:hAnsi="Times New Roman" w:cs="Times New Roman"/>
          <w:sz w:val="24"/>
          <w:szCs w:val="24"/>
        </w:rPr>
        <w:t>where health care workers and hospitalized patients are at risk of Covid-19 exposure;</w:t>
      </w:r>
    </w:p>
    <w:p w14:paraId="67A91645" w14:textId="44A9FA31" w:rsidR="006224D8" w:rsidRPr="006224D8" w:rsidRDefault="006224D8" w:rsidP="006224D8">
      <w:pPr>
        <w:pStyle w:val="Body"/>
        <w:numPr>
          <w:ilvl w:val="0"/>
          <w:numId w:val="10"/>
        </w:numPr>
        <w:rPr>
          <w:rFonts w:ascii="Times New Roman" w:hAnsi="Times New Roman" w:cs="Times New Roman"/>
          <w:sz w:val="24"/>
          <w:szCs w:val="24"/>
        </w:rPr>
      </w:pPr>
      <w:r w:rsidRPr="006224D8">
        <w:rPr>
          <w:rFonts w:ascii="Times New Roman" w:hAnsi="Times New Roman" w:cs="Times New Roman"/>
          <w:sz w:val="24"/>
          <w:szCs w:val="24"/>
        </w:rPr>
        <w:t>creation of a resource allocation system for hospital and intensive care beds that can be activated when one health care system within the region is nearing capacity</w:t>
      </w:r>
      <w:r>
        <w:rPr>
          <w:rFonts w:ascii="Times New Roman" w:hAnsi="Times New Roman" w:cs="Times New Roman"/>
          <w:sz w:val="24"/>
          <w:szCs w:val="24"/>
        </w:rPr>
        <w:t>;</w:t>
      </w:r>
    </w:p>
    <w:p w14:paraId="2445BE7C" w14:textId="7A595FCE" w:rsidR="006224D8" w:rsidRDefault="006224D8" w:rsidP="006224D8">
      <w:pPr>
        <w:pStyle w:val="Body"/>
        <w:numPr>
          <w:ilvl w:val="0"/>
          <w:numId w:val="10"/>
        </w:numPr>
        <w:rPr>
          <w:rFonts w:ascii="Times New Roman" w:hAnsi="Times New Roman" w:cs="Times New Roman"/>
          <w:sz w:val="24"/>
          <w:szCs w:val="24"/>
        </w:rPr>
      </w:pPr>
      <w:r w:rsidRPr="006224D8">
        <w:rPr>
          <w:rFonts w:ascii="Times New Roman" w:hAnsi="Times New Roman" w:cs="Times New Roman"/>
          <w:sz w:val="24"/>
          <w:szCs w:val="24"/>
        </w:rPr>
        <w:t>agreement concerning modification of CPR practices;</w:t>
      </w:r>
    </w:p>
    <w:p w14:paraId="51BD645C" w14:textId="75B70A4A" w:rsidR="00A67FAE" w:rsidRPr="006224D8" w:rsidRDefault="00A67FAE" w:rsidP="006224D8">
      <w:pPr>
        <w:pStyle w:val="Body"/>
        <w:numPr>
          <w:ilvl w:val="0"/>
          <w:numId w:val="10"/>
        </w:numPr>
        <w:rPr>
          <w:rFonts w:ascii="Times New Roman" w:hAnsi="Times New Roman" w:cs="Times New Roman"/>
          <w:sz w:val="24"/>
          <w:szCs w:val="24"/>
        </w:rPr>
      </w:pPr>
      <w:r>
        <w:rPr>
          <w:rFonts w:ascii="Helvetica" w:hAnsi="Helvetica"/>
          <w:color w:val="222222"/>
          <w:shd w:val="clear" w:color="auto" w:fill="FFFFFF"/>
        </w:rPr>
        <w:t>agreement concerning whether and how health care workers should be prioritized in the allocation of scarce resources under crisis standards of care, including consequences for the larger community and for equity across hospitals and other health care settings.</w:t>
      </w:r>
    </w:p>
    <w:p w14:paraId="7EA17280" w14:textId="77777777" w:rsidR="006224D8" w:rsidRDefault="006224D8" w:rsidP="001F6F94">
      <w:pPr>
        <w:pStyle w:val="Body"/>
        <w:rPr>
          <w:rFonts w:ascii="Times New Roman" w:hAnsi="Times New Roman" w:cs="Times New Roman"/>
          <w:sz w:val="24"/>
          <w:szCs w:val="24"/>
        </w:rPr>
      </w:pPr>
    </w:p>
    <w:p w14:paraId="6FECEC6F" w14:textId="77777777" w:rsidR="002914C5" w:rsidRDefault="002914C5" w:rsidP="001F6F94">
      <w:pPr>
        <w:pStyle w:val="Body"/>
        <w:rPr>
          <w:rFonts w:ascii="Times New Roman" w:hAnsi="Times New Roman" w:cs="Times New Roman"/>
          <w:sz w:val="24"/>
          <w:szCs w:val="24"/>
        </w:rPr>
      </w:pPr>
    </w:p>
    <w:p w14:paraId="3E09623F" w14:textId="037910CD" w:rsidR="00CD2F0F" w:rsidRDefault="00CD2F0F" w:rsidP="00CD2F0F">
      <w:pPr>
        <w:rPr>
          <w:rFonts w:ascii="Times New Roman" w:eastAsia="Times New Roman" w:hAnsi="Times New Roman" w:cs="Times New Roman"/>
          <w:iCs/>
          <w:sz w:val="24"/>
          <w:szCs w:val="24"/>
        </w:rPr>
      </w:pPr>
      <w:r>
        <w:rPr>
          <w:rFonts w:ascii="Times New Roman" w:eastAsia="Times New Roman" w:hAnsi="Times New Roman" w:cs="Times New Roman"/>
          <w:iCs/>
          <w:color w:val="000000"/>
          <w:sz w:val="24"/>
          <w:szCs w:val="24"/>
        </w:rPr>
        <w:t xml:space="preserve">“Responding effectively to Covid-19 requires clinicians to </w:t>
      </w:r>
      <w:r w:rsidR="00A21642">
        <w:rPr>
          <w:rFonts w:ascii="Times New Roman" w:eastAsia="Times New Roman" w:hAnsi="Times New Roman" w:cs="Times New Roman"/>
          <w:iCs/>
          <w:color w:val="000000"/>
          <w:sz w:val="24"/>
          <w:szCs w:val="24"/>
        </w:rPr>
        <w:t>address</w:t>
      </w:r>
      <w:r>
        <w:rPr>
          <w:rFonts w:ascii="Times New Roman" w:eastAsia="Times New Roman" w:hAnsi="Times New Roman" w:cs="Times New Roman"/>
          <w:iCs/>
          <w:color w:val="000000"/>
          <w:sz w:val="24"/>
          <w:szCs w:val="24"/>
        </w:rPr>
        <w:t xml:space="preserve"> the collective</w:t>
      </w:r>
      <w:r w:rsidR="00A21642">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needs of  communi</w:t>
      </w:r>
      <w:r w:rsidR="00A21642">
        <w:rPr>
          <w:rFonts w:ascii="Times New Roman" w:eastAsia="Times New Roman" w:hAnsi="Times New Roman" w:cs="Times New Roman"/>
          <w:iCs/>
          <w:color w:val="000000"/>
          <w:sz w:val="24"/>
          <w:szCs w:val="24"/>
        </w:rPr>
        <w:t xml:space="preserve">ties as they consider individual patient concerns,” </w:t>
      </w:r>
      <w:r>
        <w:rPr>
          <w:rFonts w:ascii="Times New Roman" w:eastAsia="Times New Roman" w:hAnsi="Times New Roman" w:cs="Times New Roman"/>
          <w:iCs/>
          <w:color w:val="000000"/>
          <w:sz w:val="24"/>
          <w:szCs w:val="24"/>
        </w:rPr>
        <w:t xml:space="preserve">said </w:t>
      </w:r>
      <w:r>
        <w:rPr>
          <w:rFonts w:ascii="Times New Roman" w:eastAsia="Times New Roman" w:hAnsi="Times New Roman" w:cs="Times New Roman"/>
          <w:iCs/>
          <w:sz w:val="24"/>
          <w:szCs w:val="24"/>
        </w:rPr>
        <w:t>Hastings Center research scholar</w:t>
      </w:r>
      <w:r w:rsidR="00A21642">
        <w:rPr>
          <w:rFonts w:ascii="Times New Roman" w:eastAsia="Times New Roman" w:hAnsi="Times New Roman" w:cs="Times New Roman"/>
          <w:iCs/>
          <w:sz w:val="24"/>
          <w:szCs w:val="24"/>
        </w:rPr>
        <w:t xml:space="preserve"> and project lead</w:t>
      </w:r>
      <w:r>
        <w:rPr>
          <w:rFonts w:ascii="Times New Roman" w:eastAsia="Times New Roman" w:hAnsi="Times New Roman" w:cs="Times New Roman"/>
          <w:iCs/>
          <w:sz w:val="24"/>
          <w:szCs w:val="24"/>
        </w:rPr>
        <w:t xml:space="preserve"> Nancy Berlinger</w:t>
      </w:r>
      <w:r w:rsidR="00A21642">
        <w:rPr>
          <w:rFonts w:ascii="Times New Roman" w:eastAsia="Times New Roman" w:hAnsi="Times New Roman" w:cs="Times New Roman"/>
          <w:iCs/>
          <w:sz w:val="24"/>
          <w:szCs w:val="24"/>
        </w:rPr>
        <w:t xml:space="preserve">. </w:t>
      </w:r>
      <w:r>
        <w:rPr>
          <w:rFonts w:ascii="Times New Roman" w:eastAsia="Times New Roman" w:hAnsi="Times New Roman" w:cs="Times New Roman"/>
          <w:iCs/>
          <w:color w:val="000000"/>
          <w:sz w:val="24"/>
          <w:szCs w:val="24"/>
        </w:rPr>
        <w:t xml:space="preserve">“Our guidance can support medical institutions’ efforts to </w:t>
      </w:r>
      <w:r>
        <w:rPr>
          <w:rFonts w:ascii="Times New Roman" w:hAnsi="Times New Roman" w:cs="Times New Roman"/>
          <w:sz w:val="24"/>
          <w:szCs w:val="24"/>
        </w:rPr>
        <w:t xml:space="preserve">mitigate health inequities, </w:t>
      </w:r>
      <w:r w:rsidRPr="00C5471A">
        <w:rPr>
          <w:rFonts w:ascii="Times New Roman" w:hAnsi="Times New Roman" w:cs="Times New Roman"/>
          <w:sz w:val="24"/>
          <w:szCs w:val="24"/>
        </w:rPr>
        <w:t xml:space="preserve">serve populations </w:t>
      </w:r>
      <w:r>
        <w:rPr>
          <w:rFonts w:ascii="Times New Roman" w:hAnsi="Times New Roman" w:cs="Times New Roman"/>
          <w:sz w:val="24"/>
          <w:szCs w:val="24"/>
        </w:rPr>
        <w:t>who face</w:t>
      </w:r>
      <w:r w:rsidRPr="00C5471A">
        <w:rPr>
          <w:rFonts w:ascii="Times New Roman" w:hAnsi="Times New Roman" w:cs="Times New Roman"/>
          <w:sz w:val="24"/>
          <w:szCs w:val="24"/>
        </w:rPr>
        <w:t xml:space="preserve"> barriers to health care</w:t>
      </w:r>
      <w:r>
        <w:rPr>
          <w:rFonts w:ascii="Times New Roman" w:hAnsi="Times New Roman" w:cs="Times New Roman"/>
          <w:sz w:val="24"/>
          <w:szCs w:val="24"/>
        </w:rPr>
        <w:t>, and communicate compassionately with patients and families during a time of prolonged uncertainty</w:t>
      </w:r>
      <w:r>
        <w:rPr>
          <w:rFonts w:ascii="Times New Roman" w:eastAsia="Times New Roman" w:hAnsi="Times New Roman" w:cs="Times New Roman"/>
          <w:iCs/>
          <w:sz w:val="24"/>
          <w:szCs w:val="24"/>
        </w:rPr>
        <w:t>.”</w:t>
      </w:r>
    </w:p>
    <w:p w14:paraId="03B8D0F1" w14:textId="77777777" w:rsidR="00CD2F0F" w:rsidRPr="005C5C31" w:rsidRDefault="00CD2F0F" w:rsidP="00CD2F0F">
      <w:pPr>
        <w:rPr>
          <w:rFonts w:ascii="Times New Roman" w:eastAsia="Times New Roman" w:hAnsi="Times New Roman" w:cs="Times New Roman"/>
          <w:iCs/>
          <w:color w:val="000000"/>
          <w:sz w:val="24"/>
          <w:szCs w:val="24"/>
        </w:rPr>
      </w:pPr>
    </w:p>
    <w:p w14:paraId="4D205FAD" w14:textId="35DDC0D6" w:rsidR="00A21642" w:rsidRDefault="00A21642" w:rsidP="00A21642">
      <w:pPr>
        <w:rPr>
          <w:rFonts w:ascii="Times New Roman" w:hAnsi="Times New Roman"/>
          <w:sz w:val="24"/>
          <w:szCs w:val="24"/>
        </w:rPr>
      </w:pPr>
      <w:r>
        <w:rPr>
          <w:rFonts w:ascii="Times New Roman" w:hAnsi="Times New Roman" w:cs="Times New Roman"/>
          <w:sz w:val="24"/>
          <w:szCs w:val="24"/>
        </w:rPr>
        <w:t xml:space="preserve">The Hastings Center guidance, </w:t>
      </w:r>
      <w:r w:rsidR="001F6F94" w:rsidRPr="00736C06">
        <w:rPr>
          <w:rFonts w:ascii="Times New Roman" w:hAnsi="Times New Roman" w:cs="Times New Roman"/>
          <w:i/>
          <w:iCs/>
          <w:sz w:val="24"/>
          <w:szCs w:val="24"/>
        </w:rPr>
        <w:t>Responding to Covid-19 as a Regional Public Health Challenge</w:t>
      </w:r>
      <w:r>
        <w:rPr>
          <w:rFonts w:ascii="Times New Roman" w:hAnsi="Times New Roman" w:cs="Times New Roman"/>
          <w:sz w:val="24"/>
          <w:szCs w:val="24"/>
        </w:rPr>
        <w:t>,</w:t>
      </w:r>
      <w:r w:rsidR="00CD2F0F" w:rsidRPr="00CD2F0F">
        <w:rPr>
          <w:rFonts w:ascii="Times New Roman" w:eastAsia="Times New Roman" w:hAnsi="Times New Roman" w:cs="Times New Roman"/>
          <w:iCs/>
          <w:color w:val="000000"/>
          <w:sz w:val="24"/>
          <w:szCs w:val="24"/>
        </w:rPr>
        <w:t xml:space="preserve"> </w:t>
      </w:r>
      <w:r w:rsidR="00CD2F0F">
        <w:rPr>
          <w:rFonts w:ascii="Times New Roman" w:eastAsia="Times New Roman" w:hAnsi="Times New Roman" w:cs="Times New Roman"/>
          <w:iCs/>
          <w:color w:val="000000"/>
          <w:sz w:val="24"/>
          <w:szCs w:val="24"/>
        </w:rPr>
        <w:t>provides examples of issues where regional agreement around policies, processes, or practices may be feasible and effective</w:t>
      </w:r>
      <w:r>
        <w:rPr>
          <w:rFonts w:ascii="Times New Roman" w:eastAsia="Times New Roman" w:hAnsi="Times New Roman" w:cs="Times New Roman"/>
          <w:iCs/>
          <w:color w:val="000000"/>
          <w:sz w:val="24"/>
          <w:szCs w:val="24"/>
        </w:rPr>
        <w:t xml:space="preserve">. It </w:t>
      </w:r>
      <w:r>
        <w:rPr>
          <w:rFonts w:ascii="Times New Roman" w:hAnsi="Times New Roman" w:cs="Times New Roman"/>
          <w:sz w:val="24"/>
          <w:szCs w:val="24"/>
        </w:rPr>
        <w:t>is</w:t>
      </w:r>
      <w:r w:rsidR="001F6F94" w:rsidRPr="00736C06">
        <w:rPr>
          <w:rFonts w:ascii="Times New Roman" w:hAnsi="Times New Roman" w:cs="Times New Roman"/>
          <w:sz w:val="24"/>
          <w:szCs w:val="24"/>
        </w:rPr>
        <w:t xml:space="preserve"> </w:t>
      </w:r>
      <w:r w:rsidR="00A81D22">
        <w:rPr>
          <w:rFonts w:ascii="Times New Roman" w:hAnsi="Times New Roman" w:cs="Times New Roman"/>
          <w:sz w:val="24"/>
          <w:szCs w:val="24"/>
        </w:rPr>
        <w:t xml:space="preserve">meant to </w:t>
      </w:r>
      <w:r w:rsidR="004501D9">
        <w:rPr>
          <w:rFonts w:ascii="Times New Roman" w:hAnsi="Times New Roman" w:cs="Times New Roman"/>
          <w:sz w:val="24"/>
          <w:szCs w:val="24"/>
        </w:rPr>
        <w:t>serve</w:t>
      </w:r>
      <w:r w:rsidR="001F6F94" w:rsidRPr="00736C06">
        <w:rPr>
          <w:rFonts w:ascii="Times New Roman" w:hAnsi="Times New Roman" w:cs="Times New Roman"/>
          <w:sz w:val="24"/>
          <w:szCs w:val="24"/>
        </w:rPr>
        <w:t xml:space="preserve"> organizations serving the same geographic region, </w:t>
      </w:r>
      <w:r w:rsidR="00A81D22">
        <w:rPr>
          <w:rFonts w:ascii="Times New Roman" w:hAnsi="Times New Roman" w:cs="Times New Roman"/>
          <w:sz w:val="24"/>
          <w:szCs w:val="24"/>
        </w:rPr>
        <w:t>including</w:t>
      </w:r>
      <w:r w:rsidR="001F6F94">
        <w:rPr>
          <w:rFonts w:ascii="Times New Roman" w:hAnsi="Times New Roman" w:cs="Times New Roman"/>
          <w:sz w:val="24"/>
          <w:szCs w:val="24"/>
        </w:rPr>
        <w:t xml:space="preserve"> </w:t>
      </w:r>
      <w:r w:rsidR="001F6F94">
        <w:rPr>
          <w:rFonts w:ascii="Times New Roman" w:hAnsi="Times New Roman"/>
          <w:sz w:val="24"/>
          <w:szCs w:val="24"/>
        </w:rPr>
        <w:t xml:space="preserve">state and regional hospital associations, state medical societies, and public health </w:t>
      </w:r>
      <w:r>
        <w:rPr>
          <w:rFonts w:ascii="Times New Roman" w:hAnsi="Times New Roman"/>
          <w:sz w:val="24"/>
          <w:szCs w:val="24"/>
        </w:rPr>
        <w:t>authorities.</w:t>
      </w:r>
    </w:p>
    <w:p w14:paraId="173BA584" w14:textId="1B6CB9F2" w:rsidR="00A21642" w:rsidRDefault="00A21642" w:rsidP="00A21642">
      <w:pPr>
        <w:rPr>
          <w:rFonts w:ascii="Times New Roman" w:hAnsi="Times New Roman"/>
          <w:sz w:val="24"/>
          <w:szCs w:val="24"/>
        </w:rPr>
      </w:pPr>
      <w:r>
        <w:rPr>
          <w:rFonts w:ascii="Times New Roman" w:hAnsi="Times New Roman"/>
          <w:sz w:val="24"/>
          <w:szCs w:val="24"/>
        </w:rPr>
        <w:lastRenderedPageBreak/>
        <w:br/>
        <w:t xml:space="preserve">Previously, The Hastings Center issued </w:t>
      </w:r>
      <w:hyperlink r:id="rId8" w:history="1">
        <w:r w:rsidRPr="00A21642">
          <w:rPr>
            <w:rStyle w:val="Hyperlink"/>
            <w:rFonts w:ascii="Times New Roman" w:hAnsi="Times New Roman"/>
            <w:sz w:val="24"/>
            <w:szCs w:val="24"/>
          </w:rPr>
          <w:t>broad-based ethical guidance for institutions</w:t>
        </w:r>
      </w:hyperlink>
      <w:r>
        <w:rPr>
          <w:rFonts w:ascii="Times New Roman" w:hAnsi="Times New Roman"/>
          <w:sz w:val="24"/>
          <w:szCs w:val="24"/>
        </w:rPr>
        <w:t xml:space="preserve"> responding to Covid-19.</w:t>
      </w:r>
    </w:p>
    <w:p w14:paraId="39B683A9" w14:textId="28DEC32D" w:rsidR="001F6F94" w:rsidRDefault="001F6F94" w:rsidP="001F6F94">
      <w:pPr>
        <w:pStyle w:val="Body"/>
        <w:rPr>
          <w:rFonts w:ascii="Times New Roman" w:hAnsi="Times New Roman" w:cs="Times New Roman"/>
          <w:sz w:val="24"/>
          <w:szCs w:val="24"/>
        </w:rPr>
      </w:pPr>
    </w:p>
    <w:p w14:paraId="33E38633" w14:textId="1F9BE6FD" w:rsidR="001F6F94" w:rsidRDefault="003C24F5" w:rsidP="004B5815">
      <w:pPr>
        <w:pStyle w:val="Body"/>
        <w:rPr>
          <w:rFonts w:ascii="Times New Roman" w:hAnsi="Times New Roman" w:cs="Times New Roman"/>
          <w:sz w:val="24"/>
          <w:szCs w:val="24"/>
        </w:rPr>
      </w:pPr>
      <w:r>
        <w:rPr>
          <w:rFonts w:ascii="Times New Roman" w:hAnsi="Times New Roman" w:cs="Times New Roman"/>
          <w:sz w:val="24"/>
          <w:szCs w:val="24"/>
        </w:rPr>
        <w:t>The project was made</w:t>
      </w:r>
      <w:r w:rsidRPr="00736C06">
        <w:rPr>
          <w:rFonts w:ascii="Times New Roman" w:hAnsi="Times New Roman" w:cs="Times New Roman"/>
          <w:sz w:val="24"/>
          <w:szCs w:val="24"/>
        </w:rPr>
        <w:t xml:space="preserve"> possible by the Donaghue Impact Fund at The Hastings Center</w:t>
      </w:r>
      <w:r>
        <w:rPr>
          <w:rFonts w:ascii="Times New Roman" w:hAnsi="Times New Roman" w:cs="Times New Roman"/>
          <w:sz w:val="24"/>
          <w:szCs w:val="24"/>
        </w:rPr>
        <w:t xml:space="preserve">.  </w:t>
      </w:r>
    </w:p>
    <w:p w14:paraId="3C94CE15" w14:textId="5735D1AB" w:rsidR="001719F4" w:rsidRPr="00736C06" w:rsidRDefault="001719F4" w:rsidP="00334953">
      <w:pPr>
        <w:pStyle w:val="Body"/>
        <w:rPr>
          <w:rFonts w:ascii="Times New Roman" w:hAnsi="Times New Roman" w:cs="Times New Roman"/>
          <w:sz w:val="24"/>
          <w:szCs w:val="24"/>
        </w:rPr>
      </w:pPr>
    </w:p>
    <w:p w14:paraId="33B2D4DF" w14:textId="7B08D55B" w:rsidR="001719F4" w:rsidRPr="00736C06" w:rsidRDefault="003C24F5" w:rsidP="001719F4">
      <w:pPr>
        <w:pStyle w:val="Body"/>
        <w:rPr>
          <w:rFonts w:ascii="Times New Roman" w:hAnsi="Times New Roman" w:cs="Times New Roman"/>
          <w:sz w:val="24"/>
          <w:szCs w:val="24"/>
        </w:rPr>
      </w:pPr>
      <w:r>
        <w:rPr>
          <w:rFonts w:ascii="Times New Roman" w:hAnsi="Times New Roman" w:cs="Times New Roman"/>
          <w:sz w:val="24"/>
          <w:szCs w:val="24"/>
        </w:rPr>
        <w:t>For more information</w:t>
      </w:r>
      <w:r w:rsidR="001719F4" w:rsidRPr="00736C06">
        <w:rPr>
          <w:rFonts w:ascii="Times New Roman" w:hAnsi="Times New Roman" w:cs="Times New Roman"/>
          <w:sz w:val="24"/>
          <w:szCs w:val="24"/>
        </w:rPr>
        <w:t>, contact:</w:t>
      </w:r>
    </w:p>
    <w:p w14:paraId="6E9D2F4C" w14:textId="77777777" w:rsidR="001719F4" w:rsidRPr="00736C06" w:rsidRDefault="001719F4" w:rsidP="001719F4">
      <w:pPr>
        <w:shd w:val="clear" w:color="auto" w:fill="FFFFFF"/>
        <w:spacing w:before="100" w:beforeAutospacing="1" w:after="100" w:afterAutospacing="1"/>
        <w:rPr>
          <w:rFonts w:ascii="Times New Roman" w:eastAsia="Times New Roman" w:hAnsi="Times New Roman" w:cs="Times New Roman"/>
          <w:sz w:val="24"/>
          <w:szCs w:val="24"/>
        </w:rPr>
      </w:pPr>
      <w:r w:rsidRPr="00736C06">
        <w:rPr>
          <w:rFonts w:ascii="Times New Roman" w:eastAsia="Times New Roman" w:hAnsi="Times New Roman" w:cs="Times New Roman"/>
          <w:sz w:val="24"/>
          <w:szCs w:val="24"/>
        </w:rPr>
        <w:t>Susan Gilbert</w:t>
      </w:r>
      <w:r w:rsidRPr="00736C06">
        <w:rPr>
          <w:rFonts w:ascii="Times New Roman" w:eastAsia="Times New Roman" w:hAnsi="Times New Roman" w:cs="Times New Roman"/>
          <w:sz w:val="24"/>
          <w:szCs w:val="24"/>
        </w:rPr>
        <w:br/>
        <w:t>Director of Communications</w:t>
      </w:r>
      <w:r w:rsidRPr="00736C06">
        <w:rPr>
          <w:rFonts w:ascii="Times New Roman" w:eastAsia="Times New Roman" w:hAnsi="Times New Roman" w:cs="Times New Roman"/>
          <w:sz w:val="24"/>
          <w:szCs w:val="24"/>
        </w:rPr>
        <w:br/>
        <w:t>The Hastings Center</w:t>
      </w:r>
      <w:r w:rsidRPr="00736C06">
        <w:rPr>
          <w:rFonts w:ascii="Times New Roman" w:eastAsia="Times New Roman" w:hAnsi="Times New Roman" w:cs="Times New Roman"/>
          <w:sz w:val="24"/>
          <w:szCs w:val="24"/>
        </w:rPr>
        <w:br/>
      </w:r>
      <w:hyperlink r:id="rId9" w:history="1">
        <w:r w:rsidRPr="00736C06">
          <w:rPr>
            <w:rFonts w:ascii="Times New Roman" w:eastAsia="Times New Roman" w:hAnsi="Times New Roman" w:cs="Times New Roman"/>
            <w:color w:val="3294AE"/>
            <w:sz w:val="24"/>
            <w:szCs w:val="24"/>
            <w:u w:val="single"/>
          </w:rPr>
          <w:t>gilberts@thehastingscenter.org</w:t>
        </w:r>
      </w:hyperlink>
      <w:r w:rsidRPr="00736C06">
        <w:rPr>
          <w:rFonts w:ascii="Times New Roman" w:eastAsia="Times New Roman" w:hAnsi="Times New Roman" w:cs="Times New Roman"/>
          <w:sz w:val="24"/>
          <w:szCs w:val="24"/>
        </w:rPr>
        <w:br/>
        <w:t>845-424-4040 x 244</w:t>
      </w:r>
    </w:p>
    <w:p w14:paraId="38F3F664" w14:textId="77777777" w:rsidR="001719F4" w:rsidRPr="00736C06" w:rsidRDefault="001719F4" w:rsidP="00F32E58">
      <w:pPr>
        <w:pStyle w:val="Body"/>
        <w:rPr>
          <w:rFonts w:ascii="Times New Roman" w:hAnsi="Times New Roman" w:cs="Times New Roman"/>
          <w:sz w:val="24"/>
          <w:szCs w:val="24"/>
        </w:rPr>
      </w:pPr>
    </w:p>
    <w:p w14:paraId="74D8FEE2" w14:textId="77777777" w:rsidR="001719F4" w:rsidRDefault="001719F4" w:rsidP="00F32E58">
      <w:pPr>
        <w:pStyle w:val="Body"/>
        <w:rPr>
          <w:rFonts w:ascii="Times New Roman" w:hAnsi="Times New Roman" w:cs="Times New Roman"/>
          <w:sz w:val="24"/>
          <w:szCs w:val="24"/>
        </w:rPr>
      </w:pPr>
    </w:p>
    <w:p w14:paraId="00EA9848" w14:textId="77777777" w:rsidR="005A43EF" w:rsidRPr="005A43EF" w:rsidRDefault="005A43EF" w:rsidP="00CB5BC7">
      <w:pPr>
        <w:pStyle w:val="Body"/>
        <w:rPr>
          <w:rFonts w:ascii="Times New Roman" w:eastAsia="Times New Roman" w:hAnsi="Times New Roman" w:cs="Times New Roman"/>
          <w:sz w:val="24"/>
          <w:szCs w:val="24"/>
        </w:rPr>
      </w:pPr>
    </w:p>
    <w:p w14:paraId="7A369DAA" w14:textId="59DC3E6C" w:rsidR="00355E47" w:rsidRPr="005A43EF" w:rsidRDefault="00355E47" w:rsidP="00355E47">
      <w:pPr>
        <w:rPr>
          <w:rFonts w:ascii="Times New Roman" w:hAnsi="Times New Roman" w:cs="Times New Roman"/>
          <w:sz w:val="24"/>
          <w:szCs w:val="24"/>
        </w:rPr>
      </w:pPr>
    </w:p>
    <w:p w14:paraId="5244C488" w14:textId="78740EE9" w:rsidR="00561D51" w:rsidRPr="005A43EF" w:rsidRDefault="00561D51" w:rsidP="001F6F94">
      <w:pPr>
        <w:rPr>
          <w:rFonts w:ascii="Times New Roman" w:hAnsi="Times New Roman" w:cs="Times New Roman"/>
          <w:sz w:val="24"/>
          <w:szCs w:val="24"/>
        </w:rPr>
      </w:pPr>
    </w:p>
    <w:sectPr w:rsidR="00561D51" w:rsidRPr="005A4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Old Style Std">
    <w:altName w:val="Calibri"/>
    <w:charset w:val="00"/>
    <w:family w:val="auto"/>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7649E"/>
    <w:multiLevelType w:val="hybridMultilevel"/>
    <w:tmpl w:val="7DBC2908"/>
    <w:numStyleLink w:val="ImportedStyle3"/>
  </w:abstractNum>
  <w:abstractNum w:abstractNumId="1" w15:restartNumberingAfterBreak="0">
    <w:nsid w:val="0A3837C8"/>
    <w:multiLevelType w:val="hybridMultilevel"/>
    <w:tmpl w:val="6A5267D0"/>
    <w:styleLink w:val="ImportedStyle6"/>
    <w:lvl w:ilvl="0" w:tplc="0F92BB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0061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1E17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2C26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609CB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34A8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50CF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BE03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3A58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3470883"/>
    <w:multiLevelType w:val="hybridMultilevel"/>
    <w:tmpl w:val="6020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A11D5"/>
    <w:multiLevelType w:val="hybridMultilevel"/>
    <w:tmpl w:val="AFEC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827C1"/>
    <w:multiLevelType w:val="hybridMultilevel"/>
    <w:tmpl w:val="E01AE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95436"/>
    <w:multiLevelType w:val="multilevel"/>
    <w:tmpl w:val="DDC8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9D5B85"/>
    <w:multiLevelType w:val="hybridMultilevel"/>
    <w:tmpl w:val="7DBC2908"/>
    <w:styleLink w:val="ImportedStyle3"/>
    <w:lvl w:ilvl="0" w:tplc="7BC80F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7EA8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D20F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7E92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AC3C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8CDC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C84B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AAD7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82DF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1B9717B"/>
    <w:multiLevelType w:val="hybridMultilevel"/>
    <w:tmpl w:val="4B241D46"/>
    <w:numStyleLink w:val="ImportedStyle4"/>
  </w:abstractNum>
  <w:abstractNum w:abstractNumId="8" w15:restartNumberingAfterBreak="0">
    <w:nsid w:val="77E4438C"/>
    <w:multiLevelType w:val="hybridMultilevel"/>
    <w:tmpl w:val="6A5267D0"/>
    <w:numStyleLink w:val="ImportedStyle6"/>
  </w:abstractNum>
  <w:abstractNum w:abstractNumId="9" w15:restartNumberingAfterBreak="0">
    <w:nsid w:val="783979A9"/>
    <w:multiLevelType w:val="hybridMultilevel"/>
    <w:tmpl w:val="4B241D46"/>
    <w:styleLink w:val="ImportedStyle4"/>
    <w:lvl w:ilvl="0" w:tplc="85CC6E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FE8A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9E16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2818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2050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368E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7ACB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06E2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86E3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0"/>
  </w:num>
  <w:num w:numId="3">
    <w:abstractNumId w:val="9"/>
  </w:num>
  <w:num w:numId="4">
    <w:abstractNumId w:val="7"/>
  </w:num>
  <w:num w:numId="5">
    <w:abstractNumId w:val="1"/>
  </w:num>
  <w:num w:numId="6">
    <w:abstractNumId w:val="8"/>
  </w:num>
  <w:num w:numId="7">
    <w:abstractNumId w:val="4"/>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3MTI2MQeSBgbmBko6SsGpxcWZ+XkgBca1ABf/NawsAAAA"/>
  </w:docVars>
  <w:rsids>
    <w:rsidRoot w:val="008917CC"/>
    <w:rsid w:val="00021483"/>
    <w:rsid w:val="00043890"/>
    <w:rsid w:val="00074A56"/>
    <w:rsid w:val="000B4154"/>
    <w:rsid w:val="000E4FD0"/>
    <w:rsid w:val="000F1493"/>
    <w:rsid w:val="00101120"/>
    <w:rsid w:val="001608EE"/>
    <w:rsid w:val="001719F4"/>
    <w:rsid w:val="00185A5E"/>
    <w:rsid w:val="0019578E"/>
    <w:rsid w:val="001F6F94"/>
    <w:rsid w:val="002040E5"/>
    <w:rsid w:val="00211F38"/>
    <w:rsid w:val="0028724E"/>
    <w:rsid w:val="002914C5"/>
    <w:rsid w:val="002C3D77"/>
    <w:rsid w:val="00325051"/>
    <w:rsid w:val="00334953"/>
    <w:rsid w:val="00355E47"/>
    <w:rsid w:val="00376725"/>
    <w:rsid w:val="00381821"/>
    <w:rsid w:val="003C24F5"/>
    <w:rsid w:val="00422F1B"/>
    <w:rsid w:val="00431D03"/>
    <w:rsid w:val="00437750"/>
    <w:rsid w:val="004447A3"/>
    <w:rsid w:val="004501D9"/>
    <w:rsid w:val="004862A9"/>
    <w:rsid w:val="00487E07"/>
    <w:rsid w:val="004B5815"/>
    <w:rsid w:val="00503725"/>
    <w:rsid w:val="005456F9"/>
    <w:rsid w:val="00561D51"/>
    <w:rsid w:val="005A43EF"/>
    <w:rsid w:val="005C5C31"/>
    <w:rsid w:val="005E17F7"/>
    <w:rsid w:val="006224D8"/>
    <w:rsid w:val="00650B0C"/>
    <w:rsid w:val="006B78C2"/>
    <w:rsid w:val="00736C06"/>
    <w:rsid w:val="007A4062"/>
    <w:rsid w:val="007B2BE5"/>
    <w:rsid w:val="00841A34"/>
    <w:rsid w:val="00861795"/>
    <w:rsid w:val="008917CC"/>
    <w:rsid w:val="008C3F46"/>
    <w:rsid w:val="00902E36"/>
    <w:rsid w:val="009104B8"/>
    <w:rsid w:val="009335A5"/>
    <w:rsid w:val="0096564E"/>
    <w:rsid w:val="0098509A"/>
    <w:rsid w:val="009B399F"/>
    <w:rsid w:val="009F4105"/>
    <w:rsid w:val="00A20273"/>
    <w:rsid w:val="00A21642"/>
    <w:rsid w:val="00A67FAE"/>
    <w:rsid w:val="00A81D22"/>
    <w:rsid w:val="00A82A48"/>
    <w:rsid w:val="00AF77FB"/>
    <w:rsid w:val="00B32B2A"/>
    <w:rsid w:val="00B6701A"/>
    <w:rsid w:val="00BC3211"/>
    <w:rsid w:val="00C10188"/>
    <w:rsid w:val="00C17306"/>
    <w:rsid w:val="00C263BC"/>
    <w:rsid w:val="00C51F32"/>
    <w:rsid w:val="00CB5BC7"/>
    <w:rsid w:val="00CD2F0F"/>
    <w:rsid w:val="00CE145A"/>
    <w:rsid w:val="00D15297"/>
    <w:rsid w:val="00D36489"/>
    <w:rsid w:val="00D615CA"/>
    <w:rsid w:val="00E55F7E"/>
    <w:rsid w:val="00E57CF8"/>
    <w:rsid w:val="00E71196"/>
    <w:rsid w:val="00E854D1"/>
    <w:rsid w:val="00EA4690"/>
    <w:rsid w:val="00EC3821"/>
    <w:rsid w:val="00EE3302"/>
    <w:rsid w:val="00F02CB4"/>
    <w:rsid w:val="00F11291"/>
    <w:rsid w:val="00F21B33"/>
    <w:rsid w:val="00F32E58"/>
    <w:rsid w:val="00F43428"/>
    <w:rsid w:val="00F60567"/>
    <w:rsid w:val="00F97260"/>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CA61"/>
  <w15:chartTrackingRefBased/>
  <w15:docId w15:val="{F9AC8C5F-504D-4F0E-BFFE-ACE32771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35A5"/>
    <w:pPr>
      <w:spacing w:after="0" w:line="240" w:lineRule="auto"/>
    </w:pPr>
    <w:rPr>
      <w:rFonts w:ascii="Calibri" w:hAnsi="Calibri" w:cs="Calibri"/>
    </w:rPr>
  </w:style>
  <w:style w:type="paragraph" w:styleId="Heading2">
    <w:name w:val="heading 2"/>
    <w:basedOn w:val="Normal"/>
    <w:link w:val="Heading2Char"/>
    <w:uiPriority w:val="9"/>
    <w:qFormat/>
    <w:rsid w:val="004B581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A4690"/>
    <w:pPr>
      <w:widowControl w:val="0"/>
      <w:pBdr>
        <w:top w:val="nil"/>
        <w:left w:val="nil"/>
        <w:bottom w:val="nil"/>
        <w:right w:val="nil"/>
        <w:between w:val="nil"/>
        <w:bar w:val="nil"/>
      </w:pBdr>
      <w:spacing w:after="0" w:line="240" w:lineRule="auto"/>
    </w:pPr>
    <w:rPr>
      <w:rFonts w:ascii="Century Old Style Std" w:eastAsia="Century Old Style Std" w:hAnsi="Century Old Style Std" w:cs="Century Old Style Std"/>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EA46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90"/>
    <w:rPr>
      <w:rFonts w:ascii="Segoe UI" w:hAnsi="Segoe UI" w:cs="Segoe UI"/>
      <w:sz w:val="18"/>
      <w:szCs w:val="18"/>
    </w:rPr>
  </w:style>
  <w:style w:type="character" w:styleId="PageNumber">
    <w:name w:val="page number"/>
    <w:rsid w:val="000F1493"/>
  </w:style>
  <w:style w:type="paragraph" w:styleId="ListParagraph">
    <w:name w:val="List Paragraph"/>
    <w:qFormat/>
    <w:rsid w:val="000F1493"/>
    <w:pPr>
      <w:widowControl w:val="0"/>
      <w:pBdr>
        <w:top w:val="nil"/>
        <w:left w:val="nil"/>
        <w:bottom w:val="nil"/>
        <w:right w:val="nil"/>
        <w:between w:val="nil"/>
        <w:bar w:val="nil"/>
      </w:pBdr>
      <w:spacing w:after="0" w:line="240" w:lineRule="auto"/>
      <w:ind w:left="1290"/>
    </w:pPr>
    <w:rPr>
      <w:rFonts w:ascii="Century Old Style Std" w:eastAsia="Century Old Style Std" w:hAnsi="Century Old Style Std" w:cs="Century Old Style Std"/>
      <w:color w:val="000000"/>
      <w:u w:color="000000"/>
      <w:bdr w:val="nil"/>
    </w:rPr>
  </w:style>
  <w:style w:type="numbering" w:customStyle="1" w:styleId="ImportedStyle3">
    <w:name w:val="Imported Style 3"/>
    <w:rsid w:val="000F1493"/>
    <w:pPr>
      <w:numPr>
        <w:numId w:val="1"/>
      </w:numPr>
    </w:pPr>
  </w:style>
  <w:style w:type="numbering" w:customStyle="1" w:styleId="ImportedStyle4">
    <w:name w:val="Imported Style 4"/>
    <w:rsid w:val="007A4062"/>
    <w:pPr>
      <w:numPr>
        <w:numId w:val="3"/>
      </w:numPr>
    </w:pPr>
  </w:style>
  <w:style w:type="paragraph" w:styleId="CommentText">
    <w:name w:val="annotation text"/>
    <w:link w:val="CommentTextChar"/>
    <w:rsid w:val="00561D51"/>
    <w:pPr>
      <w:widowControl w:val="0"/>
      <w:pBdr>
        <w:top w:val="nil"/>
        <w:left w:val="nil"/>
        <w:bottom w:val="nil"/>
        <w:right w:val="nil"/>
        <w:between w:val="nil"/>
        <w:bar w:val="nil"/>
      </w:pBdr>
      <w:spacing w:after="0" w:line="240" w:lineRule="auto"/>
    </w:pPr>
    <w:rPr>
      <w:rFonts w:ascii="Century Old Style Std" w:eastAsia="Century Old Style Std" w:hAnsi="Century Old Style Std" w:cs="Century Old Style Std"/>
      <w:color w:val="000000"/>
      <w:sz w:val="20"/>
      <w:szCs w:val="20"/>
      <w:u w:color="000000"/>
      <w:bdr w:val="nil"/>
    </w:rPr>
  </w:style>
  <w:style w:type="character" w:customStyle="1" w:styleId="CommentTextChar">
    <w:name w:val="Comment Text Char"/>
    <w:basedOn w:val="DefaultParagraphFont"/>
    <w:link w:val="CommentText"/>
    <w:rsid w:val="00561D51"/>
    <w:rPr>
      <w:rFonts w:ascii="Century Old Style Std" w:eastAsia="Century Old Style Std" w:hAnsi="Century Old Style Std" w:cs="Century Old Style Std"/>
      <w:color w:val="000000"/>
      <w:sz w:val="20"/>
      <w:szCs w:val="20"/>
      <w:u w:color="000000"/>
      <w:bdr w:val="nil"/>
    </w:rPr>
  </w:style>
  <w:style w:type="character" w:styleId="CommentReference">
    <w:name w:val="annotation reference"/>
    <w:basedOn w:val="DefaultParagraphFont"/>
    <w:uiPriority w:val="99"/>
    <w:semiHidden/>
    <w:unhideWhenUsed/>
    <w:rsid w:val="00561D51"/>
    <w:rPr>
      <w:sz w:val="16"/>
      <w:szCs w:val="16"/>
    </w:rPr>
  </w:style>
  <w:style w:type="numbering" w:customStyle="1" w:styleId="ImportedStyle6">
    <w:name w:val="Imported Style 6"/>
    <w:rsid w:val="00043890"/>
    <w:pPr>
      <w:numPr>
        <w:numId w:val="5"/>
      </w:numPr>
    </w:pPr>
  </w:style>
  <w:style w:type="character" w:styleId="Strong">
    <w:name w:val="Strong"/>
    <w:basedOn w:val="DefaultParagraphFont"/>
    <w:uiPriority w:val="22"/>
    <w:qFormat/>
    <w:rsid w:val="00C10188"/>
    <w:rPr>
      <w:b/>
      <w:bCs/>
    </w:rPr>
  </w:style>
  <w:style w:type="character" w:styleId="Emphasis">
    <w:name w:val="Emphasis"/>
    <w:basedOn w:val="DefaultParagraphFont"/>
    <w:uiPriority w:val="20"/>
    <w:qFormat/>
    <w:rsid w:val="00C10188"/>
    <w:rPr>
      <w:i/>
      <w:iCs/>
    </w:rPr>
  </w:style>
  <w:style w:type="paragraph" w:styleId="CommentSubject">
    <w:name w:val="annotation subject"/>
    <w:basedOn w:val="CommentText"/>
    <w:next w:val="CommentText"/>
    <w:link w:val="CommentSubjectChar"/>
    <w:uiPriority w:val="99"/>
    <w:semiHidden/>
    <w:unhideWhenUsed/>
    <w:rsid w:val="00E71196"/>
    <w:pPr>
      <w:widowControl/>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b/>
      <w:bCs/>
      <w:color w:val="auto"/>
      <w:bdr w:val="none" w:sz="0" w:space="0" w:color="auto"/>
    </w:rPr>
  </w:style>
  <w:style w:type="character" w:customStyle="1" w:styleId="CommentSubjectChar">
    <w:name w:val="Comment Subject Char"/>
    <w:basedOn w:val="CommentTextChar"/>
    <w:link w:val="CommentSubject"/>
    <w:uiPriority w:val="99"/>
    <w:semiHidden/>
    <w:rsid w:val="00E71196"/>
    <w:rPr>
      <w:rFonts w:ascii="Calibri" w:eastAsia="Century Old Style Std" w:hAnsi="Calibri" w:cs="Calibri"/>
      <w:b/>
      <w:bCs/>
      <w:color w:val="000000"/>
      <w:sz w:val="20"/>
      <w:szCs w:val="20"/>
      <w:u w:color="000000"/>
      <w:bdr w:val="nil"/>
    </w:rPr>
  </w:style>
  <w:style w:type="character" w:styleId="Hyperlink">
    <w:name w:val="Hyperlink"/>
    <w:basedOn w:val="DefaultParagraphFont"/>
    <w:uiPriority w:val="99"/>
    <w:unhideWhenUsed/>
    <w:rsid w:val="00841A34"/>
    <w:rPr>
      <w:color w:val="0563C1" w:themeColor="hyperlink"/>
      <w:u w:val="single"/>
    </w:rPr>
  </w:style>
  <w:style w:type="character" w:customStyle="1" w:styleId="UnresolvedMention1">
    <w:name w:val="Unresolved Mention1"/>
    <w:basedOn w:val="DefaultParagraphFont"/>
    <w:uiPriority w:val="99"/>
    <w:semiHidden/>
    <w:unhideWhenUsed/>
    <w:rsid w:val="00841A34"/>
    <w:rPr>
      <w:color w:val="605E5C"/>
      <w:shd w:val="clear" w:color="auto" w:fill="E1DFDD"/>
    </w:rPr>
  </w:style>
  <w:style w:type="character" w:customStyle="1" w:styleId="UnresolvedMention2">
    <w:name w:val="Unresolved Mention2"/>
    <w:basedOn w:val="DefaultParagraphFont"/>
    <w:uiPriority w:val="99"/>
    <w:rsid w:val="005A43EF"/>
    <w:rPr>
      <w:color w:val="605E5C"/>
      <w:shd w:val="clear" w:color="auto" w:fill="E1DFDD"/>
    </w:rPr>
  </w:style>
  <w:style w:type="character" w:styleId="FollowedHyperlink">
    <w:name w:val="FollowedHyperlink"/>
    <w:basedOn w:val="DefaultParagraphFont"/>
    <w:uiPriority w:val="99"/>
    <w:semiHidden/>
    <w:unhideWhenUsed/>
    <w:rsid w:val="00F11291"/>
    <w:rPr>
      <w:color w:val="954F72" w:themeColor="followedHyperlink"/>
      <w:u w:val="single"/>
    </w:rPr>
  </w:style>
  <w:style w:type="character" w:styleId="UnresolvedMention">
    <w:name w:val="Unresolved Mention"/>
    <w:basedOn w:val="DefaultParagraphFont"/>
    <w:uiPriority w:val="99"/>
    <w:rsid w:val="00E55F7E"/>
    <w:rPr>
      <w:color w:val="605E5C"/>
      <w:shd w:val="clear" w:color="auto" w:fill="E1DFDD"/>
    </w:rPr>
  </w:style>
  <w:style w:type="character" w:customStyle="1" w:styleId="Heading2Char">
    <w:name w:val="Heading 2 Char"/>
    <w:basedOn w:val="DefaultParagraphFont"/>
    <w:link w:val="Heading2"/>
    <w:uiPriority w:val="9"/>
    <w:rsid w:val="004B5815"/>
    <w:rPr>
      <w:rFonts w:ascii="Times New Roman" w:eastAsia="Times New Roman" w:hAnsi="Times New Roman" w:cs="Times New Roman"/>
      <w:b/>
      <w:bCs/>
      <w:sz w:val="36"/>
      <w:szCs w:val="36"/>
    </w:rPr>
  </w:style>
  <w:style w:type="character" w:customStyle="1" w:styleId="mark99mkfbsqa">
    <w:name w:val="mark99mkfbsqa"/>
    <w:basedOn w:val="DefaultParagraphFont"/>
    <w:rsid w:val="004B5815"/>
  </w:style>
  <w:style w:type="character" w:customStyle="1" w:styleId="markih5ki63zp">
    <w:name w:val="markih5ki63zp"/>
    <w:basedOn w:val="DefaultParagraphFont"/>
    <w:rsid w:val="004B5815"/>
  </w:style>
  <w:style w:type="character" w:customStyle="1" w:styleId="mark7gdhpjneg">
    <w:name w:val="mark7gdhpjneg"/>
    <w:basedOn w:val="DefaultParagraphFont"/>
    <w:rsid w:val="004B5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421098">
      <w:bodyDiv w:val="1"/>
      <w:marLeft w:val="0"/>
      <w:marRight w:val="0"/>
      <w:marTop w:val="0"/>
      <w:marBottom w:val="0"/>
      <w:divBdr>
        <w:top w:val="none" w:sz="0" w:space="0" w:color="auto"/>
        <w:left w:val="none" w:sz="0" w:space="0" w:color="auto"/>
        <w:bottom w:val="none" w:sz="0" w:space="0" w:color="auto"/>
        <w:right w:val="none" w:sz="0" w:space="0" w:color="auto"/>
      </w:divBdr>
    </w:div>
    <w:div w:id="477576724">
      <w:bodyDiv w:val="1"/>
      <w:marLeft w:val="0"/>
      <w:marRight w:val="0"/>
      <w:marTop w:val="0"/>
      <w:marBottom w:val="0"/>
      <w:divBdr>
        <w:top w:val="none" w:sz="0" w:space="0" w:color="auto"/>
        <w:left w:val="none" w:sz="0" w:space="0" w:color="auto"/>
        <w:bottom w:val="none" w:sz="0" w:space="0" w:color="auto"/>
        <w:right w:val="none" w:sz="0" w:space="0" w:color="auto"/>
      </w:divBdr>
    </w:div>
    <w:div w:id="684555197">
      <w:bodyDiv w:val="1"/>
      <w:marLeft w:val="0"/>
      <w:marRight w:val="0"/>
      <w:marTop w:val="0"/>
      <w:marBottom w:val="0"/>
      <w:divBdr>
        <w:top w:val="none" w:sz="0" w:space="0" w:color="auto"/>
        <w:left w:val="none" w:sz="0" w:space="0" w:color="auto"/>
        <w:bottom w:val="none" w:sz="0" w:space="0" w:color="auto"/>
        <w:right w:val="none" w:sz="0" w:space="0" w:color="auto"/>
      </w:divBdr>
    </w:div>
    <w:div w:id="705640699">
      <w:bodyDiv w:val="1"/>
      <w:marLeft w:val="0"/>
      <w:marRight w:val="0"/>
      <w:marTop w:val="0"/>
      <w:marBottom w:val="0"/>
      <w:divBdr>
        <w:top w:val="none" w:sz="0" w:space="0" w:color="auto"/>
        <w:left w:val="none" w:sz="0" w:space="0" w:color="auto"/>
        <w:bottom w:val="none" w:sz="0" w:space="0" w:color="auto"/>
        <w:right w:val="none" w:sz="0" w:space="0" w:color="auto"/>
      </w:divBdr>
    </w:div>
    <w:div w:id="737097391">
      <w:bodyDiv w:val="1"/>
      <w:marLeft w:val="0"/>
      <w:marRight w:val="0"/>
      <w:marTop w:val="0"/>
      <w:marBottom w:val="0"/>
      <w:divBdr>
        <w:top w:val="none" w:sz="0" w:space="0" w:color="auto"/>
        <w:left w:val="none" w:sz="0" w:space="0" w:color="auto"/>
        <w:bottom w:val="none" w:sz="0" w:space="0" w:color="auto"/>
        <w:right w:val="none" w:sz="0" w:space="0" w:color="auto"/>
      </w:divBdr>
    </w:div>
    <w:div w:id="1074429607">
      <w:bodyDiv w:val="1"/>
      <w:marLeft w:val="0"/>
      <w:marRight w:val="0"/>
      <w:marTop w:val="0"/>
      <w:marBottom w:val="0"/>
      <w:divBdr>
        <w:top w:val="none" w:sz="0" w:space="0" w:color="auto"/>
        <w:left w:val="none" w:sz="0" w:space="0" w:color="auto"/>
        <w:bottom w:val="none" w:sz="0" w:space="0" w:color="auto"/>
        <w:right w:val="none" w:sz="0" w:space="0" w:color="auto"/>
      </w:divBdr>
    </w:div>
    <w:div w:id="1433892127">
      <w:bodyDiv w:val="1"/>
      <w:marLeft w:val="0"/>
      <w:marRight w:val="0"/>
      <w:marTop w:val="0"/>
      <w:marBottom w:val="0"/>
      <w:divBdr>
        <w:top w:val="none" w:sz="0" w:space="0" w:color="auto"/>
        <w:left w:val="none" w:sz="0" w:space="0" w:color="auto"/>
        <w:bottom w:val="none" w:sz="0" w:space="0" w:color="auto"/>
        <w:right w:val="none" w:sz="0" w:space="0" w:color="auto"/>
      </w:divBdr>
    </w:div>
    <w:div w:id="193851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hastingscenter.org/ethicalframeworkcovid19/" TargetMode="External"/><Relationship Id="rId3" Type="http://schemas.openxmlformats.org/officeDocument/2006/relationships/settings" Target="settings.xml"/><Relationship Id="rId7" Type="http://schemas.openxmlformats.org/officeDocument/2006/relationships/hyperlink" Target="https://www.thehastingscenter.org/covid19-regional-ethics-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cations@thehastingscenter.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ilberts@thehastings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Gilbert</dc:creator>
  <cp:keywords/>
  <dc:description/>
  <cp:lastModifiedBy>Susan Gilbert</cp:lastModifiedBy>
  <cp:revision>3</cp:revision>
  <dcterms:created xsi:type="dcterms:W3CDTF">2020-05-01T19:30:00Z</dcterms:created>
  <dcterms:modified xsi:type="dcterms:W3CDTF">2020-05-01T19:32:00Z</dcterms:modified>
</cp:coreProperties>
</file>